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49866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4986655"/>
                    </a:xfrm>
                    <a:prstGeom prst="rect">
                      <a:avLst/>
                    </a:prstGeom>
                    <a:noFill/>
                  </pic:spPr>
                </pic:pic>
              </a:graphicData>
            </a:graphic>
          </wp:anchor>
        </w:drawing>
      </w:r>
    </w:p>
    <w:p>
      <w:pPr>
        <w:spacing w:after="0" w:line="1194"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6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Tsai Chen Lung</w:t>
              </w:r>
            </w:hyperlink>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CapsoVision,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CV</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420" w:type="dxa"/>
            <w:vAlign w:val="bottom"/>
            <w:gridSpan w:val="3"/>
            <w:vMerge w:val="continue"/>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440" w:type="dxa"/>
            <w:vAlign w:val="bottom"/>
            <w:tcBorders>
              <w:top w:val="single" w:sz="8" w:color="0000EE"/>
            </w:tcBorders>
          </w:tcPr>
          <w:p>
            <w:pPr>
              <w:spacing w:after="0"/>
              <w:rPr>
                <w:sz w:val="5"/>
                <w:szCs w:val="5"/>
                <w:color w:val="auto"/>
              </w:rPr>
            </w:pPr>
          </w:p>
        </w:tc>
        <w:tc>
          <w:tcPr>
            <w:tcW w:w="23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11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440" w:type="dxa"/>
            <w:vAlign w:val="bottom"/>
          </w:tcPr>
          <w:p>
            <w:pPr>
              <w:spacing w:after="0"/>
              <w:rPr>
                <w:sz w:val="6"/>
                <w:szCs w:val="6"/>
                <w:color w:val="auto"/>
              </w:rPr>
            </w:pPr>
          </w:p>
        </w:tc>
        <w:tc>
          <w:tcPr>
            <w:tcW w:w="23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540" w:type="dxa"/>
            <w:vAlign w:val="bottom"/>
            <w:tcBorders>
              <w:top w:val="single" w:sz="8" w:color="EEEEEE"/>
            </w:tcBorders>
          </w:tcPr>
          <w:p>
            <w:pPr>
              <w:spacing w:after="0"/>
              <w:rPr>
                <w:sz w:val="2"/>
                <w:szCs w:val="2"/>
                <w:color w:val="auto"/>
              </w:rPr>
            </w:pPr>
          </w:p>
        </w:tc>
        <w:tc>
          <w:tcPr>
            <w:tcW w:w="110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4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60" w:type="dxa"/>
            <w:vAlign w:val="bottom"/>
          </w:tcPr>
          <w:p>
            <w:pPr>
              <w:ind w:left="60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640" w:type="dxa"/>
            <w:vAlign w:val="bottom"/>
            <w:gridSpan w:val="2"/>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16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06/30/2026</w:t>
            </w:r>
          </w:p>
        </w:tc>
        <w:tc>
          <w:tcPr>
            <w:tcW w:w="23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CAPSOVISION, INC.</w:t>
            </w:r>
          </w:p>
        </w:tc>
        <w:tc>
          <w:tcPr>
            <w:tcW w:w="1200" w:type="dxa"/>
            <w:vAlign w:val="bottom"/>
          </w:tcPr>
          <w:p>
            <w:pPr>
              <w:spacing w:after="0"/>
              <w:rPr>
                <w:sz w:val="10"/>
                <w:szCs w:val="10"/>
                <w:color w:val="auto"/>
              </w:rPr>
            </w:pPr>
          </w:p>
        </w:tc>
        <w:tc>
          <w:tcPr>
            <w:tcW w:w="1600" w:type="dxa"/>
            <w:vAlign w:val="bottom"/>
            <w:gridSpan w:val="3"/>
            <w:vMerge w:val="continue"/>
          </w:tcPr>
          <w:p>
            <w:pPr>
              <w:spacing w:after="0"/>
              <w:rPr>
                <w:sz w:val="10"/>
                <w:szCs w:val="10"/>
                <w:color w:val="auto"/>
              </w:rPr>
            </w:pPr>
          </w:p>
        </w:tc>
        <w:tc>
          <w:tcPr>
            <w:tcW w:w="232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20" w:type="dxa"/>
            <w:vAlign w:val="bottom"/>
            <w:gridSpan w:val="3"/>
            <w:vMerge w:val="continue"/>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24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w w:val="98"/>
              </w:rPr>
              <w:t>18805 COX AVENUE, SUITE 250</w:t>
            </w: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232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2420" w:type="dxa"/>
            <w:vAlign w:val="bottom"/>
            <w:gridSpan w:val="3"/>
            <w:vMerge w:val="continue"/>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1"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SARATOGA</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95070</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8" w:lineRule="exact"/>
        <w:rPr>
          <w:sz w:val="20"/>
          <w:szCs w:val="20"/>
          <w:color w:val="auto"/>
        </w:rPr>
      </w:pPr>
    </w:p>
    <w:p>
      <w:pPr>
        <w:sectPr>
          <w:pgSz w:w="11900" w:h="16838" w:orient="portrait"/>
          <w:cols w:equalWidth="0" w:num="2">
            <w:col w:w="7540" w:space="720"/>
            <w:col w:w="282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2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40" w:type="dxa"/>
            <w:vAlign w:val="bottom"/>
            <w:gridSpan w:val="2"/>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1"/>
                <w:szCs w:val="21"/>
                <w:color w:val="008000"/>
                <w:vertAlign w:val="superscript"/>
              </w:rPr>
              <w:t>(1)</w:t>
            </w:r>
          </w:p>
        </w:tc>
        <w:tc>
          <w:tcPr>
            <w:tcW w:w="10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ind w:left="800"/>
              <w:spacing w:after="0"/>
              <w:rPr>
                <w:sz w:val="20"/>
                <w:szCs w:val="20"/>
                <w:color w:val="auto"/>
              </w:rPr>
            </w:pPr>
            <w:r>
              <w:rPr>
                <w:rFonts w:ascii="Times New Roman" w:cs="Times New Roman" w:eastAsia="Times New Roman" w:hAnsi="Times New Roman"/>
                <w:sz w:val="17"/>
                <w:szCs w:val="17"/>
                <w:color w:val="0000FF"/>
              </w:rPr>
              <w:t>06/30/2026</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right"/>
              <w:ind w:right="280"/>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9"/>
              </w:rPr>
              <w:t>2,022</w:t>
            </w:r>
          </w:p>
        </w:tc>
        <w:tc>
          <w:tcPr>
            <w:tcW w:w="6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2"/>
          </w:tcPr>
          <w:p>
            <w:pPr>
              <w:ind w:left="18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7.58</w:t>
            </w:r>
          </w:p>
        </w:tc>
        <w:tc>
          <w:tcPr>
            <w:tcW w:w="1300" w:type="dxa"/>
            <w:vAlign w:val="bottom"/>
            <w:tcBorders>
              <w:bottom w:val="single" w:sz="8" w:color="2C2C2C"/>
            </w:tcBorders>
            <w:gridSpan w:val="3"/>
          </w:tcPr>
          <w:p>
            <w:pPr>
              <w:ind w:left="500"/>
              <w:spacing w:after="0"/>
              <w:rPr>
                <w:sz w:val="20"/>
                <w:szCs w:val="20"/>
                <w:color w:val="auto"/>
              </w:rPr>
            </w:pPr>
            <w:r>
              <w:rPr>
                <w:rFonts w:ascii="Times New Roman" w:cs="Times New Roman" w:eastAsia="Times New Roman" w:hAnsi="Times New Roman"/>
                <w:sz w:val="17"/>
                <w:szCs w:val="17"/>
                <w:color w:val="0000FF"/>
              </w:rPr>
              <w:t>4,929</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11"/>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1"/>
                <w:szCs w:val="11"/>
                <w:color w:val="008000"/>
              </w:rPr>
              <w:t>(2)</w:t>
            </w:r>
          </w:p>
        </w:tc>
        <w:tc>
          <w:tcPr>
            <w:tcW w:w="220" w:type="dxa"/>
            <w:vAlign w:val="bottom"/>
          </w:tcPr>
          <w:p>
            <w:pPr>
              <w:spacing w:after="0"/>
              <w:rPr>
                <w:sz w:val="15"/>
                <w:szCs w:val="15"/>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(2)</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ind w:right="35"/>
              <w:spacing w:after="0"/>
              <w:rPr>
                <w:sz w:val="20"/>
                <w:szCs w:val="20"/>
                <w:color w:val="auto"/>
              </w:rPr>
            </w:pPr>
            <w:r>
              <w:rPr>
                <w:rFonts w:ascii="Times New Roman" w:cs="Times New Roman" w:eastAsia="Times New Roman" w:hAnsi="Times New Roman"/>
                <w:sz w:val="17"/>
                <w:szCs w:val="17"/>
                <w:color w:val="0000FF"/>
              </w:rPr>
              <w:t>2,022</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Times New Roman" w:cs="Times New Roman" w:eastAsia="Times New Roman" w:hAnsi="Times New Roman"/>
                <w:sz w:val="13"/>
                <w:szCs w:val="13"/>
                <w:color w:val="0000FF"/>
              </w:rPr>
              <w:t>Stock Unit</w:t>
            </w:r>
          </w:p>
        </w:tc>
        <w:tc>
          <w:tcPr>
            <w:tcW w:w="780" w:type="dxa"/>
            <w:vAlign w:val="bottom"/>
          </w:tcPr>
          <w:p>
            <w:pPr>
              <w:ind w:left="320"/>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1080" w:type="dxa"/>
            <w:vAlign w:val="bottom"/>
          </w:tcPr>
          <w:p>
            <w:pPr>
              <w:ind w:left="240"/>
              <w:spacing w:after="0" w:line="130" w:lineRule="exact"/>
              <w:rPr>
                <w:sz w:val="20"/>
                <w:szCs w:val="20"/>
                <w:color w:val="auto"/>
              </w:rPr>
            </w:pPr>
            <w:r>
              <w:rPr>
                <w:rFonts w:ascii="Times New Roman" w:cs="Times New Roman" w:eastAsia="Times New Roman" w:hAnsi="Times New Roman"/>
                <w:sz w:val="13"/>
                <w:szCs w:val="13"/>
                <w:color w:val="0000FF"/>
              </w:rPr>
              <w:t>06/30/2026</w:t>
            </w:r>
          </w:p>
        </w:tc>
        <w:tc>
          <w:tcPr>
            <w:tcW w:w="1100" w:type="dxa"/>
            <w:vAlign w:val="bottom"/>
          </w:tcPr>
          <w:p>
            <w:pPr>
              <w:spacing w:after="0"/>
              <w:rPr>
                <w:sz w:val="11"/>
                <w:szCs w:val="11"/>
                <w:color w:val="auto"/>
              </w:rPr>
            </w:pPr>
          </w:p>
        </w:tc>
        <w:tc>
          <w:tcPr>
            <w:tcW w:w="640" w:type="dxa"/>
            <w:vAlign w:val="bottom"/>
          </w:tcPr>
          <w:p>
            <w:pPr>
              <w:ind w:left="160"/>
              <w:spacing w:after="0" w:line="130"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1"/>
                <w:szCs w:val="11"/>
                <w:color w:val="auto"/>
              </w:rPr>
            </w:pPr>
          </w:p>
        </w:tc>
        <w:tc>
          <w:tcPr>
            <w:tcW w:w="800" w:type="dxa"/>
            <w:vAlign w:val="bottom"/>
          </w:tcPr>
          <w:p>
            <w:pPr>
              <w:ind w:left="380"/>
              <w:spacing w:after="0" w:line="130" w:lineRule="exact"/>
              <w:rPr>
                <w:sz w:val="20"/>
                <w:szCs w:val="20"/>
                <w:color w:val="auto"/>
              </w:rPr>
            </w:pPr>
            <w:r>
              <w:rPr>
                <w:rFonts w:ascii="Times New Roman" w:cs="Times New Roman" w:eastAsia="Times New Roman" w:hAnsi="Times New Roman"/>
                <w:sz w:val="13"/>
                <w:szCs w:val="13"/>
                <w:color w:val="0000FF"/>
              </w:rPr>
              <w:t>2,022</w:t>
            </w:r>
          </w:p>
        </w:tc>
        <w:tc>
          <w:tcPr>
            <w:tcW w:w="76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40"/>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80"/>
              <w:spacing w:after="0" w:line="130" w:lineRule="exact"/>
              <w:rPr>
                <w:sz w:val="20"/>
                <w:szCs w:val="20"/>
                <w:color w:val="auto"/>
              </w:rPr>
            </w:pPr>
            <w:r>
              <w:rPr>
                <w:rFonts w:ascii="Times New Roman" w:cs="Times New Roman" w:eastAsia="Times New Roman" w:hAnsi="Times New Roman"/>
                <w:sz w:val="13"/>
                <w:szCs w:val="13"/>
                <w:color w:val="0000FF"/>
              </w:rPr>
              <w:t>2,023</w:t>
            </w:r>
          </w:p>
        </w:tc>
        <w:tc>
          <w:tcPr>
            <w:tcW w:w="280" w:type="dxa"/>
            <w:vAlign w:val="bottom"/>
          </w:tcPr>
          <w:p>
            <w:pPr>
              <w:spacing w:after="0"/>
              <w:rPr>
                <w:sz w:val="11"/>
                <w:szCs w:val="11"/>
                <w:color w:val="auto"/>
              </w:rPr>
            </w:pPr>
          </w:p>
        </w:tc>
        <w:tc>
          <w:tcPr>
            <w:tcW w:w="680" w:type="dxa"/>
            <w:vAlign w:val="bottom"/>
          </w:tcPr>
          <w:p>
            <w:pPr>
              <w:ind w:left="320"/>
              <w:spacing w:after="0" w:line="13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(RSU)</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-2108835</wp:posOffset>
            </wp:positionV>
            <wp:extent cx="29210" cy="21139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391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(the "RSU") represents a contingent right to receive one share of the Issuer's common stock.</w:t>
      </w:r>
    </w:p>
    <w:p>
      <w:pPr>
        <w:spacing w:after="0" w:line="45" w:lineRule="exact"/>
        <w:rPr>
          <w:rFonts w:ascii="Times New Roman" w:cs="Times New Roman" w:eastAsia="Times New Roman" w:hAnsi="Times New Roman"/>
          <w:sz w:val="13"/>
          <w:szCs w:val="13"/>
          <w:color w:val="008000"/>
        </w:rPr>
      </w:pPr>
    </w:p>
    <w:p>
      <w:pPr>
        <w:ind w:left="40" w:right="140" w:firstLine="3"/>
        <w:spacing w:after="0" w:line="244"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(RSUs), the conversion of which are reported herein, were granted to the Reporting Person by the issuer as part of equity incentive grants made by the issuer on 3/19/2026 utilizing a fair market value (FMV) of a share of the issuers stock of $6.18. The RSU grant vests as to 50% of the RSUs subject to the award on June 30 of the applicable year and as to 50% of the RSUs subject to the award on December 31 of that year. This report reflects the vesting of one-half portion of the original RSU grant and the acquisition by the Reporting Person of the underlying shares.</w:t>
      </w:r>
    </w:p>
    <w:p>
      <w:pPr>
        <w:spacing w:after="0" w:line="2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Kang-Huai (Johnny)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-8255</wp:posOffset>
            </wp:positionV>
            <wp:extent cx="13144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4450" cy="8255"/>
                    </a:xfrm>
                    <a:prstGeom prst="rect">
                      <a:avLst/>
                    </a:prstGeom>
                    <a:noFill/>
                  </pic:spPr>
                </pic:pic>
              </a:graphicData>
            </a:graphic>
          </wp:anchor>
        </w:drawing>
      </w:r>
    </w:p>
    <w:p>
      <w:pPr>
        <w:spacing w:after="0" w:line="3"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Attorney-in-Fact for Tsai Chen 07/01/2026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-14605</wp:posOffset>
            </wp:positionV>
            <wp:extent cx="18840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8404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Lung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-14605</wp:posOffset>
            </wp:positionV>
            <wp:extent cx="2266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26695" cy="8255"/>
                    </a:xfrm>
                    <a:prstGeom prst="rect">
                      <a:avLst/>
                    </a:prstGeom>
                    <a:noFill/>
                  </pic:spPr>
                </pic:pic>
              </a:graphicData>
            </a:graphic>
          </wp:anchor>
        </w:drawing>
      </w:r>
    </w:p>
    <w:p>
      <w:pPr>
        <w:spacing w:after="0" w:line="3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307275" TargetMode="External"/><Relationship Id="rId14" Type="http://schemas.openxmlformats.org/officeDocument/2006/relationships/hyperlink" Target="http://www.sec.gov/cgi-bin/browse-edgar?action=getcompany&amp;CIK=00013783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2026-07-01T19:20:07Z</dcterms:created>
  <dcterms:modified xsi:type="dcterms:W3CDTF">2026-07-01T19:20:07Z</dcterms:modified>
</cp:coreProperties>
</file>