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13,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CapsoVision,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20-3369494</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4270"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18805 Cox Avenue, Suite 250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Saratoga,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95070</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(408)-624-1488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39" w:type="dxa"/>
        <w:jc w:val="left"/>
        <w:tblInd w:w="0" w:type="dxa"/>
        <w:tblLayout w:type="fixed"/>
        <w:tblCellMar>
          <w:top w:w="28" w:type="dxa"/>
          <w:left w:w="28" w:type="dxa"/>
          <w:bottom w:w="28" w:type="dxa"/>
          <w:right w:w="28" w:type="dxa"/>
        </w:tblCellMar>
      </w:tblPr>
      <w:tblGrid>
        <w:gridCol w:w="1274"/>
        <w:gridCol w:w="1118"/>
        <w:gridCol w:w="1133"/>
        <w:gridCol w:w="109"/>
        <w:gridCol w:w="109"/>
        <w:gridCol w:w="109"/>
        <w:gridCol w:w="230"/>
        <w:gridCol w:w="230"/>
        <w:gridCol w:w="231"/>
        <w:gridCol w:w="109"/>
        <w:gridCol w:w="109"/>
        <w:gridCol w:w="109"/>
        <w:gridCol w:w="781"/>
        <w:gridCol w:w="781"/>
        <w:gridCol w:w="1107"/>
      </w:tblGrid>
      <w:tr>
        <w:trPr/>
        <w:tc>
          <w:tcPr>
            <w:tcW w:w="127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60"/>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0" w:after="240"/>
        <w:ind w:left="0" w:right="0" w:firstLine="720"/>
        <w:jc w:val="left"/>
        <w:rPr/>
      </w:pPr>
      <w:r>
        <w:rPr>
          <w:rFonts w:ascii="Times New Roman;serif" w:hAnsi="Times New Roman;serif"/>
          <w:b w:val="false"/>
          <w:color w:val="000000"/>
          <w:sz w:val="20"/>
        </w:rPr>
        <w:t>As previously announced, on August 13, 2026, CapsoVision, Inc. (the “Company”) entered into a Controlled Equity Offering</w:t>
      </w:r>
      <w:r>
        <w:rPr>
          <w:rFonts w:ascii="Times New Roman;serif" w:hAnsi="Times New Roman;serif"/>
          <w:b w:val="false"/>
          <w:color w:val="000000"/>
          <w:sz w:val="13"/>
        </w:rPr>
        <w:t>SM</w:t>
      </w:r>
      <w:r>
        <w:rPr>
          <w:color w:val="000000"/>
        </w:rPr>
        <w:t xml:space="preserve"> </w:t>
      </w:r>
      <w:r>
        <w:rPr>
          <w:rFonts w:ascii="Times New Roman;serif" w:hAnsi="Times New Roman;serif"/>
          <w:b w:val="false"/>
          <w:color w:val="000000"/>
          <w:sz w:val="20"/>
        </w:rPr>
        <w:t>Sales Agreement (the “Sales Agreement”) with Cantor Fitzgerald &amp; Co. with respect to an at-the-market offering program under which the Company may offer and sell, from time to time at its sole discretion, shares of its common stock, par value $0.001 per share (the “Common Stock”), having an aggregate offering price of up to $100,000,000 (the “Shares”) through or to Cantor as its “sales agent” or principal.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O’Melveny &amp; Myers LLP, counsel to the Company, has issued an opinion to the Company, dated August 13, 2026, relating to the validity of the Shares to be issued and sold pursuant to the Sales Agreement, a copy of which is filed as Exhibit 5.1 to this Current Report on Form 8-K.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filed a Registration Statement on Form S-3 (File No. 333-298315) with the Securities and Exchange Commission (“SEC”) on August 13, 2026, which included an “at-the-market offering” prospectus supplement relating to the offer and sale of the Shares filed with the SEC on August 13, 2026. Any Shares to be offered and sold under the Sales Agreement will be issued and sold pursuant to such Registration Statement, including the prospectus supplement. </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being filed herewith: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689"/>
        <w:gridCol w:w="2689"/>
        <w:gridCol w:w="38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Opinion of O’Melveny &amp; Myers LLP (incorporated by reference to Exhibit 5.2 to CapsoVision, Inc.’s Registration Statement on Form S-3 (No. 333-</w:t>
              </w:r>
            </w:hyperlink>
            <w:hyperlink r:id="rId3">
              <w:r>
                <w:rPr>
                  <w:rStyle w:val="InternetLink"/>
                  <w:rFonts w:ascii="Times New Roman;serif" w:hAnsi="Times New Roman;serif"/>
                  <w:b w:val="false"/>
                  <w:color w:val="000080"/>
                  <w:sz w:val="20"/>
                  <w:u w:val="single"/>
                </w:rPr>
                <w:t>298315</w:t>
              </w:r>
            </w:hyperlink>
            <w:hyperlink r:id="rId4">
              <w:r>
                <w:rPr>
                  <w:rStyle w:val="InternetLink"/>
                  <w:rFonts w:ascii="Times New Roman;serif" w:hAnsi="Times New Roman;serif"/>
                  <w:b w:val="false"/>
                  <w:color w:val="000080"/>
                  <w:sz w:val="20"/>
                  <w:u w:val="single"/>
                </w:rPr>
                <w:t xml:space="preserve">) filed with the SEC on August </w:t>
              </w:r>
            </w:hyperlink>
            <w:hyperlink r:id="rId5">
              <w:r>
                <w:rPr>
                  <w:rStyle w:val="InternetLink"/>
                  <w:rFonts w:ascii="Times New Roman;serif" w:hAnsi="Times New Roman;serif"/>
                  <w:b w:val="false"/>
                  <w:color w:val="000080"/>
                  <w:sz w:val="20"/>
                  <w:u w:val="single"/>
                </w:rPr>
                <w:t>13</w:t>
              </w:r>
            </w:hyperlink>
            <w:hyperlink r:id="rId6">
              <w:r>
                <w:rPr>
                  <w:rStyle w:val="InternetLink"/>
                  <w:rFonts w:ascii="Times New Roman;serif" w:hAnsi="Times New Roman;serif"/>
                  <w:b w:val="false"/>
                  <w:color w:val="000080"/>
                  <w:sz w:val="20"/>
                  <w:u w:val="single"/>
                </w:rPr>
                <w:t>,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Consent of O’Melveny &amp; Myers LLP (contained in Exhibit 5.1)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6818" w:type="dxa"/>
        <w:jc w:val="left"/>
        <w:tblInd w:w="0" w:type="dxa"/>
        <w:tblLayout w:type="fixed"/>
        <w:tblCellMar>
          <w:top w:w="28" w:type="dxa"/>
          <w:left w:w="28" w:type="dxa"/>
          <w:bottom w:w="28" w:type="dxa"/>
          <w:right w:w="28" w:type="dxa"/>
        </w:tblCellMar>
      </w:tblPr>
      <w:tblGrid>
        <w:gridCol w:w="705"/>
        <w:gridCol w:w="621"/>
        <w:gridCol w:w="624"/>
        <w:gridCol w:w="303"/>
        <w:gridCol w:w="303"/>
        <w:gridCol w:w="303"/>
        <w:gridCol w:w="1156"/>
        <w:gridCol w:w="1156"/>
        <w:gridCol w:w="164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CAPSOVISION,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Kang-Huai (Johnny) Wang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Kang-Huai (Johnny) Wang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8325/000162828026056802/exhibit52-sx3.htm" TargetMode="External"/><Relationship Id="rId3" Type="http://schemas.openxmlformats.org/officeDocument/2006/relationships/hyperlink" Target="https://www.sec.gov/Archives/edgar/data/1378325/000162828026056802/exhibit52-sx3.htm" TargetMode="External"/><Relationship Id="rId4" Type="http://schemas.openxmlformats.org/officeDocument/2006/relationships/hyperlink" Target="https://www.sec.gov/Archives/edgar/data/1378325/000162828026056802/exhibit52-sx3.htm" TargetMode="External"/><Relationship Id="rId5" Type="http://schemas.openxmlformats.org/officeDocument/2006/relationships/hyperlink" Target="https://www.sec.gov/Archives/edgar/data/1378325/000162828026056802/exhibit52-sx3.htm" TargetMode="External"/><Relationship Id="rId6" Type="http://schemas.openxmlformats.org/officeDocument/2006/relationships/hyperlink" Target="https://www.sec.gov/Archives/edgar/data/1378325/000162828026056802/exhibit52-sx3.htm" TargetMode="External"/><Relationship Id="rId7" Type="http://schemas.openxmlformats.org/officeDocument/2006/relationships/hyperlink" Target="https://www.sec.gov/Archives/edgar/data/1378325/000162828026056802/exhibit231-sx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3573</Characters>
  <CharactersWithSpaces>4169</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