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Shen Ching Hang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9411 LA PUENTE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CapsoVision,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1007"/>
        <w:gridCol w:w="444"/>
        <w:gridCol w:w="661"/>
        <w:gridCol w:w="1265"/>
        <w:gridCol w:w="984"/>
        <w:gridCol w:w="95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878,734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5.69</w:t>
            </w:r>
          </w:p>
        </w:tc>
        <w:tc>
          <w:tcPr>
            <w:tcW w:w="12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2,926,655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Star One Global Capital Limited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Ching-Hang Shen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2304" TargetMode="External"/><Relationship Id="rId5" Type="http://schemas.openxmlformats.org/officeDocument/2006/relationships/hyperlink" Target="http://www.sec.gov/cgi-bin/browse-edgar?action=getcompany&amp;CIK=00013783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3050</Characters>
  <CharactersWithSpaces>3546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