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13,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S-3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REGISTRATION STATEMENT</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UNDER</w:t>
      </w:r>
    </w:p>
    <w:p>
      <w:pPr>
        <w:pStyle w:val="TextBody"/>
        <w:bidi w:val="0"/>
        <w:spacing w:lineRule="auto" w:line="288" w:before="0" w:after="180"/>
        <w:jc w:val="center"/>
        <w:rPr>
          <w:rFonts w:ascii="Times New Roman;serif" w:hAnsi="Times New Roman;serif"/>
          <w:b/>
          <w:i/>
          <w:color w:val="000000"/>
          <w:sz w:val="18"/>
        </w:rPr>
      </w:pPr>
      <w:r>
        <w:rPr>
          <w:rFonts w:ascii="Times New Roman;serif" w:hAnsi="Times New Roman;serif"/>
          <w:b/>
          <w:i/>
          <w:color w:val="000000"/>
          <w:sz w:val="18"/>
        </w:rPr>
        <w:t>THE SECURITIES ACT OF 1933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CapsoVision,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4" w:type="dxa"/>
        <w:jc w:val="center"/>
        <w:tblInd w:w="0" w:type="dxa"/>
        <w:tblLayout w:type="fixed"/>
        <w:tblCellMar>
          <w:top w:w="28" w:type="dxa"/>
          <w:left w:w="28" w:type="dxa"/>
          <w:bottom w:w="28" w:type="dxa"/>
          <w:right w:w="28" w:type="dxa"/>
        </w:tblCellMar>
      </w:tblPr>
      <w:tblGrid>
        <w:gridCol w:w="859"/>
        <w:gridCol w:w="753"/>
        <w:gridCol w:w="758"/>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20-3369494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18805 Cox Avenue, Suite 250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Saratoga, CA 95070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Telephone: +1-408-624-1488</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Kang-Huai (Johnny) Wang</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President and Chief Executive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CapsoVision,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18805 Cox Avenue, Suite 250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Saratoga, CA 95070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Telephone: +1-408-624-1488</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(Name, address, including zip code, and telephone number, including area code, of agent for service)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Copy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Portia Ku, Esq.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O’Melveny &amp; Myers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JC Plaza, 12th 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1225 Nanjing Road West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Shanghai 200040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Telephone: +86-21-2307-7000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date of commencement of proposed sale to the public: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From time to time after this Registration Statement becomes effective.</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6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contains: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base prospectus covering the offer, issuance and sale by us of up to a maximum aggregate offering price of $250,000,000 of our common stock, preferred stock, warrants, rights and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at-the-market offering prospectus covering the offer, issuance and sale by us of up to a maximum aggregate offering price of $100,000,000 of our common stock that may be issued and sold under a sales agreement by and among us and Cantor Fitzgerald &amp; Co., as sales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base prospectus immediately follows this explanatory note. The at-the-market offering prospectus immediately follows the base prospectus. The common stock that may be offered, issued and sold by us under the at-the-market offering prospectus is included in the $250,000,000 of securities that may be offered, issued and sold by us under the base prospectus. Upon termination of the sales agreement with Cantor Fitzgerald &amp; Co., any portion of the $100,000,000 included in the at-the-market offering prospectus that remains unsold pursuant to the sales agreement will be available for sale in other offerings pursuant to the base prospectus and a corresponding prospectus supplement, and if no shares are sold under the sales agreement, the full $100,000,000 of securities not sold may be sold in other offerings pursuant to the base prospectus and a corresponding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DE1A1E"/>
          <w:sz w:val="20"/>
        </w:rPr>
      </w:pPr>
      <w:r>
        <w:rPr>
          <w:rFonts w:ascii="Times New Roman;serif" w:hAnsi="Times New Roman;serif"/>
          <w:b/>
          <w:color w:val="DE1A1E"/>
          <w:sz w:val="20"/>
        </w:rPr>
        <w:t>The information in this prospectus is not complete and may be changed. These securities may not be sold until the registration statement filed with the Securities and Exchange Commission is effective.</w:t>
      </w:r>
    </w:p>
    <w:p>
      <w:pPr>
        <w:pStyle w:val="TextBody"/>
        <w:bidi w:val="0"/>
        <w:spacing w:lineRule="auto" w:line="288" w:before="0" w:after="180"/>
        <w:jc w:val="center"/>
        <w:rPr>
          <w:rFonts w:ascii="Times New Roman;serif" w:hAnsi="Times New Roman;serif"/>
          <w:b/>
          <w:color w:val="DE1A1E"/>
          <w:sz w:val="20"/>
        </w:rPr>
      </w:pPr>
      <w:r>
        <w:rPr>
          <w:rFonts w:ascii="Times New Roman;serif" w:hAnsi="Times New Roman;serif"/>
          <w:b/>
          <w:color w:val="DE1A1E"/>
          <w:sz w:val="20"/>
        </w:rPr>
        <w:t>Subject to Completion, dated August 13,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1666875"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66875" cy="8191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CapsoVision,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$250,000,000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Warrants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Rights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offer to sell the securities described in this prospectus separately or together in any combination, in one or more classes or series, in amounts, at prices and on terms to be determined at the time of any such offering. The aggregate offering price of the securities sold pursuant to this prospectus will not exceed $250,000,000.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that we may offer. Each time any securities are offered pursuant to this prospectus, we will provide specific information about the offered securities in one or more supplements to this prospectus.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Prospectus supplements may also add, update or change information in this prospectus. If the information varies between this prospectus and any accompanying prospectus supplement, you should rely on the information in the prospectus supplement.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(“Nasdaq”) under the symbol “CV.” Any prospectus supplement will indicate if the securities offered thereby will be listed on any securities exchange.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applicable prospectus supplement, together with the documents we incorporate by reference, before you invest in our securities. This prospectus may not be used to offer and sell our securities unless accompanied by a prospectus supplement describing the method and terms of the offering.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pPr>
      <w:r>
        <w:rPr>
          <w:rFonts w:ascii="Times New Roman;serif" w:hAnsi="Times New Roman;serif"/>
          <w:b/>
          <w:color w:val="000000"/>
          <w:sz w:val="20"/>
        </w:rPr>
        <w:t>Investing in any of our securities involves a high degree of risk. Please read carefully the section entitled “</w:t>
      </w:r>
      <w:hyperlink w:anchor="i395584f3465d4dec847edce5f91fa89e_28">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395584f3465d4dec847edce5f91fa89e_28">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of this prospectus and the “Risk Factors” section contained in any applicable prospectus supplement and in the documents incorporated by reference in this prospectus and any applicable prospectus supplement before investing in our securities.</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841" w:type="dxa"/>
        <w:jc w:val="left"/>
        <w:tblInd w:w="0" w:type="dxa"/>
        <w:tblLayout w:type="fixed"/>
        <w:tblCellMar>
          <w:top w:w="28" w:type="dxa"/>
          <w:left w:w="28" w:type="dxa"/>
          <w:bottom w:w="28" w:type="dxa"/>
          <w:right w:w="28" w:type="dxa"/>
        </w:tblCellMar>
      </w:tblPr>
      <w:tblGrid>
        <w:gridCol w:w="2292"/>
        <w:gridCol w:w="2016"/>
        <w:gridCol w:w="2022"/>
        <w:gridCol w:w="149"/>
        <w:gridCol w:w="149"/>
        <w:gridCol w:w="213"/>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13">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13">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16">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16">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19">
              <w:r>
                <w:rPr>
                  <w:rStyle w:val="InternetLink"/>
                  <w:rFonts w:ascii="Times New Roman;serif" w:hAnsi="Times New Roman;serif"/>
                  <w:b w:val="false"/>
                  <w:color w:val="0000FF"/>
                  <w:sz w:val="20"/>
                  <w:u w:val="single"/>
                </w:rPr>
                <w:t>INFORMATION WE INCORPORATE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19">
              <w:r>
                <w:rPr>
                  <w:rStyle w:val="InternetLink"/>
                  <w:rFonts w:ascii="Times New Roman;serif" w:hAnsi="Times New Roman;serif"/>
                  <w:b w:val="false"/>
                  <w:color w:val="0000FF"/>
                  <w:sz w:val="20"/>
                  <w:u w:val="single"/>
                </w:rPr>
                <w:t>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22">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22">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25">
              <w:r>
                <w:rPr>
                  <w:rStyle w:val="InternetLink"/>
                  <w:rFonts w:ascii="Times New Roman;serif" w:hAnsi="Times New Roman;serif"/>
                  <w:b w:val="false"/>
                  <w:color w:val="0000FF"/>
                  <w:sz w:val="20"/>
                  <w:u w:val="single"/>
                </w:rPr>
                <w:t>ABOUT CAPSOVISION,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25">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2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28">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31">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31">
              <w:r>
                <w:rPr>
                  <w:rStyle w:val="InternetLink"/>
                  <w:rFonts w:ascii="Times New Roman;serif" w:hAnsi="Times New Roman;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34">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34">
              <w:r>
                <w:rPr>
                  <w:rStyle w:val="InternetLink"/>
                  <w:rFonts w:ascii="Times New Roman;serif" w:hAnsi="Times New Roman;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37">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37">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40">
              <w:r>
                <w:rPr>
                  <w:rStyle w:val="InternetLink"/>
                  <w:rFonts w:ascii="Times New Roman;serif" w:hAnsi="Times New Roman;serif"/>
                  <w:b w:val="false"/>
                  <w:color w:val="0000FF"/>
                  <w:sz w:val="20"/>
                  <w:u w:val="single"/>
                </w:rPr>
                <w:t>DESCRIPTION OF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40">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43">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43">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4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46">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4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49">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5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52">
              <w:r>
                <w:rPr>
                  <w:rStyle w:val="InternetLink"/>
                  <w:rFonts w:ascii="Times New Roman;serif" w:hAnsi="Times New Roman;serif"/>
                  <w:b w:val="false"/>
                  <w:color w:val="0000FF"/>
                  <w:sz w:val="20"/>
                  <w:u w:val="singl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this shelf registration process, we may, from time to time, sell any combination of the securities described in this prospectus in one or more offerings.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that may be offered pursuant to the registration statement of which this prospectus forms a part. Each time we sell securities pursuant to the registration statement of which this prospectus forms a part, a prospectus supplement will be provided that contains specific information about the terms of that offering and the securities being sold in that offering. The prospectus supplement may also add to, update or change the information contained in or incorporated by reference in this prospectus. If information varies between this prospectus and any prospectus supplement, you should rely on the information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only rely on the information contained in or incorporated by reference in this prospectus, any prospectus supplement and any free writing prospectus prepared by or on behalf of us or to which we have referred you. We have not authorized anyone to provide you with different information. We take no responsibility for, and can provide no assurance as to the reliability of, any other information that others may give you. If anyone provides you with different or inconsistent information, you should not rely on it.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purchasing any securities, you should carefully read both this prospectus and any prospectus supplement, together with the additional information described under the heading “Where You Can Find Additional Information” and “Information We Incorporate by Reference.”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References in this prospectus to the terms “we,” “us,” “our,” the “Company,” “CapsoVision,” or other similar terms refer to CapsoVision,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 This prospectus does not contain all of the information included in the registration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Our SEC filings are available to the public at the SEC’s website at www.sec.gov. We also maintain a website located at www.capsovision.com, where these SEC filings and other information about the Company can be accessed, free of charge, as soon as reasonably practicable after we electronically file the information with, or furnish it to, the SEC. The information contained on or that can be accessed through our website does not constitute part of this prospectus, except for reports filed with the SEC that are specifically incorporated herein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Forms of any documents establishing the terms of the offered securities are filed as exhibits to the registration statement of which this prospectus forms a part or will be filed through an amendment to our registration statement on Form S-3 or under cover of a Current Report on Form 8-K or other document filed with the SEC and incorporated into this prospectus by reference. Statements in this prospectus about these documents are summaries and each statement is qualified in all respects by reference to the document to which it refers. You should refer to the actual documents for a more complete description of the relevant matters. The full registration statement, including exhibits thereto, may be obtained from the SEC or us as indicated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WE INCORPORATE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 this prospectus the following documents and reports we filed with the SEC (other than, in each case, the portions that are deemed to have been furnished and not filed in accordance with SEC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3">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that are incorporated by reference into Part III of our Annual Report on Form 10-K for the year ended December 31, 2025, as filed with the SEC on </w:t>
      </w:r>
      <w:hyperlink r:id="rId4">
        <w:r>
          <w:rPr>
            <w:rStyle w:val="InternetLink"/>
            <w:rFonts w:ascii="Times New Roman;serif" w:hAnsi="Times New Roman;serif"/>
            <w:b w:val="false"/>
            <w:color w:val="0000FF"/>
            <w:sz w:val="20"/>
            <w:u w:val="single"/>
          </w:rPr>
          <w:t>April 28,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6">
        <w:r>
          <w:rPr>
            <w:rStyle w:val="InternetLink"/>
          </w:rPr>
          <w:t xml:space="preserve">August </w:t>
        </w:r>
      </w:hyperlink>
      <w:hyperlink r:id="rId7">
        <w:r>
          <w:rPr>
            <w:rStyle w:val="InternetLink"/>
          </w:rPr>
          <w:t>13</w:t>
        </w:r>
      </w:hyperlink>
      <w:hyperlink r:id="rId8">
        <w:r>
          <w:rPr>
            <w:rStyle w:val="InternetLink"/>
          </w:rPr>
          <w:t>,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9">
        <w:r>
          <w:rPr>
            <w:rStyle w:val="InternetLink"/>
            <w:rFonts w:ascii="Times New Roman;serif" w:hAnsi="Times New Roman;serif"/>
            <w:b w:val="false"/>
            <w:color w:val="0000FF"/>
            <w:sz w:val="20"/>
            <w:u w:val="single"/>
          </w:rPr>
          <w:t>March 13,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March 20, 2026</w:t>
        </w:r>
      </w:hyperlink>
      <w:r>
        <w:rPr>
          <w:color w:val="000000"/>
        </w:rPr>
        <w:t xml:space="preserve"> </w:t>
      </w:r>
      <w:r>
        <w:rPr>
          <w:rFonts w:ascii="Times New Roman;serif" w:hAnsi="Times New Roman;serif"/>
          <w:b w:val="false"/>
          <w:color w:val="000000"/>
          <w:sz w:val="20"/>
        </w:rPr>
        <w:t xml:space="preserve">(with respect to Items 1.01, 3.02, 8.01 and Exhibits 10.1 and 10.2 of Item 9.01 only), </w:t>
      </w:r>
      <w:hyperlink r:id="rId11">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July 2, 2026</w:t>
        </w:r>
      </w:hyperlink>
      <w:r>
        <w:rPr>
          <w:color w:val="000000"/>
        </w:rPr>
        <w:t xml:space="preserve"> </w:t>
      </w:r>
      <w:r>
        <w:rPr>
          <w:rFonts w:ascii="Times New Roman;serif" w:hAnsi="Times New Roman;serif"/>
          <w:b w:val="false"/>
          <w:color w:val="000000"/>
          <w:sz w:val="20"/>
        </w:rPr>
        <w:t xml:space="preserve">(with respect to Item 5.02 and Exhibits 10.1 and 10.2 of Item 9.01 only) and </w:t>
      </w:r>
      <w:hyperlink r:id="rId13">
        <w:r>
          <w:rPr>
            <w:rStyle w:val="InternetLink"/>
            <w:rFonts w:ascii="Times New Roman;serif" w:hAnsi="Times New Roman;serif"/>
            <w:b w:val="false"/>
            <w:color w:val="0000FF"/>
            <w:sz w:val="20"/>
            <w:u w:val="single"/>
          </w:rPr>
          <w:t>August 13, 2026</w:t>
        </w:r>
      </w:hyperlink>
      <w:r>
        <w:rPr>
          <w:color w:val="000000"/>
        </w:rPr>
        <w:t xml:space="preserve"> </w:t>
      </w:r>
      <w:r>
        <w:rPr>
          <w:rFonts w:ascii="Times New Roman;serif" w:hAnsi="Times New Roman;serif"/>
          <w:b w:val="false"/>
          <w:color w:val="000000"/>
          <w:sz w:val="20"/>
        </w:rPr>
        <w:t>(with respect to Item 1.01 and Exhibit 10.1 of Item 9.01 only);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par value $0.001 per share, contained in our Registration Statement on </w:t>
      </w:r>
      <w:hyperlink r:id="rId14">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June 13, 2025 (File No. 001-42705), and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the information contained in all other documents that we file with the SEC pursuant to Sections 13(a), 13(c), 14 or 15(d) of the Securities Exchange Act of 1934, as amended (the “Exchange Act”) (other than the portions that are deemed to have been furnished and not filed in accordance with SEC rules, unless otherwise indicated therein), on or after the date of the registration statement of which this prospectus forms a part and prior to its effectiveness and prior to the completion of the offering of all securities under this prospectus and any prospectus supplement. The information contained in any such document will be considered part of this prospectus from the date the document is filed with the SEC. Any statement contained in a document incorporated or deemed to be incorporated by reference herein shall be deemed to be modified or superseded for purposes of this prospectus and any accompanying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or any accompanying prospectus supplement. We will provide to each person, including any beneficial owner, to whom a prospectus (or a notice of registration in lieu thereof) is delivered, a copy of any or all of the documents incorporated by reference in this prospectus or any accompanying prospectus supplement (other than an exhibit to these filings, unless the exhibit is specifically incorporated by reference in the document requested) at no cost. Any such request can be made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CapsoVision,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18805 Cox Avenue, Suite 250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Saratoga, CA 95070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Telephone: (408) 624-1488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including the documents incorporated by reference herein, contains “forward-looking statements” within the meaning of Section 27A of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acceptance of our products by patients and doctors;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for submission of 510(k) application for our second-generation of CapsoCam Colon capsule;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receipt of and related timing for FDA 510(k) clearance of our CapsoCam Colon capsule and related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and enrollment size of our study CapsoCam UGI system and our expected resubmission of the Breakthrough Device Designation application following the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expand into new indications in terms of new GI pathologies and expanded patient populations;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strategic plan for our business and products and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and capabilities of, our assembly manufacturers and component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expected performance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use of proceeds from this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discussed in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an evolving environment. New risk factors and uncertainties may emerge from time to time, and it is not possible for management to predict all risk factors and uncertainties. We caution you that the forward-looking statements in this prospectus, any prospectus supplement and the documents incorporated by reference herein and therein, are made only as of their respective dates. These statements are inherently uncertain and investors are cautioned not to unduly rely upon these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required by applicable law, we do not plan to publicly update or revise any forward-looking statements contained or incorporated by reference herein, whether as a result of any new information, future events, changed circumstances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including the documents incorporated by reference herein,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CAPSOVISION,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CapsoVision, Inc. is a global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pStyle w:val="TextBody"/>
        <w:bidi w:val="0"/>
        <w:spacing w:lineRule="auto" w:line="288" w:before="0" w:after="180"/>
        <w:jc w:val="left"/>
        <w:rPr/>
      </w:pPr>
      <w:r>
        <w:rPr>
          <w:rFonts w:ascii="Times New Roman;serif" w:hAnsi="Times New Roman;serif"/>
          <w:b w:val="false"/>
          <w:color w:val="000000"/>
          <w:sz w:val="20"/>
        </w:rPr>
        <w:t xml:space="preserve">Our principal executive office is located at 18805 Cox Avenue, Suite 250, Saratoga, California 95070, our telephone number is (408) 624-1488, and our website is </w:t>
      </w:r>
      <w:r>
        <w:rPr>
          <w:rFonts w:ascii="Times New Roman;serif" w:hAnsi="Times New Roman;serif"/>
          <w:b w:val="false"/>
          <w:i/>
          <w:color w:val="000000"/>
          <w:sz w:val="20"/>
        </w:rPr>
        <w:t>www.capsovision.com</w:t>
      </w:r>
      <w:r>
        <w:rPr>
          <w:rFonts w:ascii="Times New Roman;serif" w:hAnsi="Times New Roman;serif"/>
          <w:b w:val="false"/>
          <w:color w:val="000000"/>
          <w:sz w:val="20"/>
        </w:rPr>
        <w:t>. The information contained on or that can be accessed through our website does not constitute part of this prospectus,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Additional Information” and “Information We Incorporate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securities covered by this prospectus as set forth in the applicable prospectus supplement. Pending any specific application, we may temporarily invest funds in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summary of the material features of our capital stock does not purport to be complete and is subject to, and qualified in its entirety by, the provisions of our amended and restated certificate of incorporation (our “Certificate of Incorporation”) and our amended and restated bylaws (our “Bylaws”), each of which are filed as exhibits to the registration statement of which this prospectus is a part, as well as applicable provisions of the Delaware General Corporation Law (the “DGCL”).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300,000,000 shares of common stock, par value $0.001 per share, and 10,000,000 shares of preferred stock, par value $0.001 per share.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Outstanding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50,032,148 shares of common stock outstanding, held of record by 204 stockholders. The actual number of holders is greater than this number and includes stockholders who are beneficial owners, but whose shares are held in “street name” by banks, brokers, and other financial institutions. This number of record holders also does not include stockholders whose shares may be held in trust by other entities.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then outstanding preferred stock, holders of our common stock are entitled to receive ratably any dividends that our board of directors may declare out of funds legally available.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Rights and Preferences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our board of directors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may authorize the issuance of preferred stock with voting or conversion rights that could adversely affect the voting power or other rights of the holders of common stock. The issuance of preferred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3,734,268 shares of common stock were issuable upon the exercise of outstanding stock options, at a weighted-average exercise price of $4.53 per share.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12,138 shares of common stock were issuable upon vesting of outstanding restricted stock units.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168,898 shares of common stock were issuable upon the exercise of outstanding warrants, at a weighted-average exercise price of $6.25 per share.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holders of shares of our common stock identified in our amended and restated investors’ rights agreement, as amended, are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as amended,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fees and disbursements of more than one special counsel for the holders, and the compensation of regular employees of the company, of the shares registered pursuant to the demand, piggyback, and Form S-3 registrations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demand, piggyback, and Form S-3 registration rights described below will terminate upon the earliest to occur of (1) the date three years after the consummation of the Company’s IPO or (2) with respect to each stockholder, such time at which Rule 144 of the Securities Act (“Rule 144”) or another similar exemption under the Securities Act is available for the sale of all of such stockholder’s shares without limitation, during a three-month period without registration.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Demand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holding not less than 50% of registrable securities may, on not more than two occasions, request that we register all or a portion of their shares, subject to certain specified exceptions. Such request for registration must cover securities the anticipated aggregate offering price of which is at least $5.0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Piggyback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S-3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holder or holders of registrable securities may, with respect to not more than two such registrations within any 12-month period, request that we register all or a portion of their shares on Form S-3 if we are qualified to file a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S-3, subject to specified exceptions. Such request for registration on Form S-3 must cover securities with aggregate proceeds, net of underwriting discounts and expenses related to the issuance, which equal or exceed $1.0 million. The right to have such shares registered on Form S-3 is further subject to other specified conditions and limitations.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Provisions of Delaware Law and Our Certificate of Incorporation and Bylaws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Section 203 of the Delaware General Corporation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before such date, the board of directors of the corporation approved either the business combination or the transaction that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after such date, the business combination is approved by the board of directors and authorized at an annual or special meeting of the stockholders, and not by written consent, by the affirmative vote of at least 66</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of the outstanding voting stock that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 “business combination” to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of 10% or more of the assets of the corporation involving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certain exceptions, any transaction that results in the issuance or transfer by the corporation of any stock of the corporation to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involving the corporation that has the effect of increasing the proportionate share of the stock or any class or series of the corporation beneficially owned by the interested stockholder;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Certificate of Incorporation and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Among other things, our Certificate of Incorporation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issue up to 10,000,000 shares of preferred stock, with any rights, preferences, and privileges as they may designate;</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authorized number of directors may be changed only by resolution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classified into three classes of directors, divided as nearly as equal in number as possible;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subject to the rights of any series of preferred stock to elect directors, directors may only be removed for cause, which removal may be effected, subject to any limitation imposed by law, by the holders of at least 66⅔% of the voting power of all of our then-outstanding shares of the capital stock entitled to vote generally at an election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 or electronic transmission;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special meetings of our stockholders may be called only by our board of directors pursuant to a resolution adopted by a majority of the total number of directors constituting the board, and not by our stockholders;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lineRule="auto" w:line="288" w:before="0" w:after="180"/>
        <w:jc w:val="left"/>
        <w:rPr/>
      </w:pPr>
      <w:r>
        <w:rPr>
          <w:rFonts w:ascii="Times New Roman;serif" w:hAnsi="Times New Roman;serif"/>
          <w:b w:val="false"/>
          <w:color w:val="000000"/>
          <w:sz w:val="20"/>
        </w:rPr>
        <w:t>The amendment of any of these provisions would require approval by the holders of at least 66</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of the voting power of all of our then-outstanding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combination of these provisions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Choice of Forum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breach of fiduciary duty; any action asserting a claim against us arising pursuant to the DGCL, our Certificate of Incorporation, or our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Nothing in our Certificate of Incorporation or Bylaws precludes stockholders that assert claims under the Exchange Act from bringing such claims in state or federal court, subject to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Foreign Action is filed in a court other than a court located within the State of Delaware,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having service of process made upon such stockholder in any such action by service upon such stockholder’s counsel in the Foreign Action as agent for such stockholder. Although our Certificate of Incorporation contains the choice of forum provision described above, it is possible that a court could find that such a provision is inapplicable for a particular claim or action or that such provision is unenforceable.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In addition, this choice of forum provision may result in increased costs for stockholders to bring a claim.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trading symbol “CV.”</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 The transfer agent and registrar’s address is 150 Royall Street, Canton, Massachusetts 02021.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to purchase shares of our common stock or shares of our preferred stock. We may issue warrants independently of or together with shares of our common stock, shares of our preferred stock or other securities offered by any prospectus supplement. Warrants sold with other securities may be attached to or separate from shares of our common stock, shares of our preferred stock or other securities. We may issue warrants under one or more warrant agreements between us and a bank or trust company, as warrant agent, that we will name in the prospectus supplement relating to the particular issue of offered warrants. If we appoint a warrant agent, such warrant agent will act solely as our agent in connection with the warrants and will not assume any obligation or relationship of agency or trust for or with any holders or beneficial owners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warrants we offer will include specific terms relating to the offering.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warrants to be offered;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warrants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including composite currencies, in which the price of the warrants may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securities purchasable upon exercise of the warrants and the number of securities issuable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at which and the currency or currencies, including composite currencies, in which the securities purchasable upon exercise of the warrants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shall commence and the date on which that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terms related to any permitted adjustment in the exercise price of or number of securities covered by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on and after which the warrants and the related securities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a discussion of any material federal income tax considerations;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warrants, including terms, procedures and limitations relating to the exchange and exercise of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specified time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Warrants may be exercised as described in the applicable prospectus supplement. Upon receipt of the required payment and the warrant certificate properly completed and duly executed at the corporate trust office of the warrant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warrants we offer will not necessarily be complete and will be qualified in its entirety by reference to the applicable form of warrant agreement, including a form of warrant certificate, which will describe the terms of the series of warrants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rights for the purchase of shares of our common stock or shares of our preferred stock. Each series of rights will be issued under a separate rights agreement to be entered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rights we offer will describe the specific terms of those rights.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for determining the persons entitled to participate in the rights distribution;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aggregate number or amount of underlying securities purchasable upon exercise of the rights and the exercise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rights being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rights may be transferable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rights outstanding,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a discussion of any material federal income tax considerations;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rights, including the terms, procedures and limitations relating to the distribution, exchange and exercise of the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rights we offer will not necessarily be complete and will be qualified in its entirety by reference to the applicable form of rights agreement, which will describe the terms of the series of rights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comprising two or more securities described in this prospectus in any combination. For example, we might issue units consisting of a combination of shares of our common stock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issuance of units we offer will describe the terms of those units.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the issuance, payment, settlement, transfer or exchange of the units or of the securities comprising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units will be issued in fully registered or global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units we offer will not necessarily be complete. Such description will be qualified in its entirety by reference to the applicable form of unit agreement, including a form of unit certificate, which will describe the terms of the series of units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at the market offerings, if any, may be conducted by underwriters acting as principal or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are underwriters of the securities offered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civil liabilities related to any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securities we may offer, other than our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underwriters or agents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regarding the validity of the securities to be offered by this prospectus will be passed upon for us by O’Melveny &amp; Myers LLP. Additional legal matters may be passed upon for us or any underwriters, dealers or agents by counsel that will be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CapsoVision, Inc. as of and for the years ended December 31, 2024 and 2025 incorporated by reference in this prospectus, have been audited by Baker Tilly US, LLP, an independent registered public accounting firm, as set forth in their report incorporated by reference in this prospectus, in reliance upon such report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DE1A1E"/>
          <w:sz w:val="20"/>
        </w:rPr>
      </w:pPr>
      <w:r>
        <w:rPr>
          <w:rFonts w:ascii="Times New Roman;serif" w:hAnsi="Times New Roman;serif"/>
          <w:b/>
          <w:color w:val="DE1A1E"/>
          <w:sz w:val="20"/>
        </w:rPr>
        <w:t>The information in this prospectus is not complete and may be changed. These securities may not be sold until the registration statement filed with the Securities and Exchange Commission is effective.</w:t>
      </w:r>
    </w:p>
    <w:p>
      <w:pPr>
        <w:pStyle w:val="TextBody"/>
        <w:bidi w:val="0"/>
        <w:spacing w:lineRule="auto" w:line="288" w:before="0" w:after="180"/>
        <w:jc w:val="center"/>
        <w:rPr>
          <w:rFonts w:ascii="Times New Roman;serif" w:hAnsi="Times New Roman;serif"/>
          <w:b/>
          <w:color w:val="DE1A1E"/>
          <w:sz w:val="20"/>
        </w:rPr>
      </w:pPr>
      <w:r>
        <w:rPr>
          <w:rFonts w:ascii="Times New Roman;serif" w:hAnsi="Times New Roman;serif"/>
          <w:b/>
          <w:color w:val="DE1A1E"/>
          <w:sz w:val="20"/>
        </w:rPr>
        <w:t>Subject to Completion, dated August 13,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Up to $100,000,000</w:t>
      </w:r>
    </w:p>
    <w:p>
      <w:pPr>
        <w:pStyle w:val="TextBody"/>
        <w:bidi w:val="0"/>
        <w:spacing w:before="0" w:after="180"/>
        <w:jc w:val="center"/>
        <w:rPr/>
      </w:pPr>
      <w:r>
        <w:rPr/>
        <w:drawing>
          <wp:inline distT="0" distB="0" distL="0" distR="0">
            <wp:extent cx="1666875" cy="81915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15"/>
                    <a:stretch>
                      <a:fillRect/>
                    </a:stretch>
                  </pic:blipFill>
                  <pic:spPr bwMode="auto">
                    <a:xfrm>
                      <a:off x="0" y="0"/>
                      <a:ext cx="1666875" cy="8191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sales agreement (the “Sales Agreement”) with Cantor Fitzgerald &amp; Co. (“Cantor”) dated August 13, 2026, relating to the sale of shares of our common stock, par value $0.001 per share, offered by this prospectus. In accordance with the terms of the Sales Agreement, under this prospectus we may offer and sell shares of our common stock having an aggregate offering price of up to $100,000,000 from time to time through or to Cantor, acting as our agent or principal.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under the symbol “CV.” On August 12, 2026, the last reported sale price of our common stock on The Nasdaq Capital Market was $6.86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common stock, if any, under this prospectus will be made in sales deemed to be an “at the market offering” as defined in Rule 415(a)(4) promulgated under the Securities Act of 1933, as amended (the “Securities Act”). Cantor is not required to sell any specific amount of securities, but will act as our sales agent using commercially reasonable efforts consistent with its normal trading and sales practices, on mutually agreed terms between Cantor and us. There is no arrangement for funds to be received in any escrow, trust or similar arrangement.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to Cantor for sales of common stock sold pursuant to the Sales Agreement will be up to 3.0% of the aggregate gross proceeds of any shares of common stock sold under the Sales Agreement. In connection with the sale of the common stock on our behalf, Cantor will be deemed to be an “underwriter” within the meaning of the Securities Act and the compensation of Cantor will be deemed to be underwriting commissions or discounts. We have also agreed to provide indemnification and contribution to Cantor with respect to certain liabilities, including liabilities under the Securities Act or the Securities Exchange Act of 1934, as amended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 xml:space="preserve">Investing in our common stock involves a high degree of risk. Please read carefully the section entitled “Risk Factors” on page </w:t>
      </w:r>
      <w:hyperlink w:anchor="i395584f3465d4dec847edce5f91fa89e_73">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of this prospectus and the “Risk Factors” section contained in the documents incorporated by reference in this prospectus before investing in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5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00"/>
        <w:gridCol w:w="400"/>
        <w:gridCol w:w="4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841" w:type="dxa"/>
        <w:jc w:val="left"/>
        <w:tblInd w:w="0" w:type="dxa"/>
        <w:tblLayout w:type="fixed"/>
        <w:tblCellMar>
          <w:top w:w="28" w:type="dxa"/>
          <w:left w:w="28" w:type="dxa"/>
          <w:bottom w:w="28" w:type="dxa"/>
          <w:right w:w="28" w:type="dxa"/>
        </w:tblCellMar>
      </w:tblPr>
      <w:tblGrid>
        <w:gridCol w:w="2291"/>
        <w:gridCol w:w="2017"/>
        <w:gridCol w:w="2022"/>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1">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95584f3465d4dec847edce5f91fa89e_61">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4">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64">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7">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67">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0">
              <w:r>
                <w:rPr>
                  <w:rStyle w:val="InternetLink"/>
                  <w:rFonts w:ascii="Times New Roman;serif" w:hAnsi="Times New Roman;serif"/>
                  <w:b w:val="false"/>
                  <w:color w:val="0000FF"/>
                  <w:sz w:val="20"/>
                  <w:u w:val="single"/>
                </w:rPr>
                <w:t>THE OFFERING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0">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3">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3">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6">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6">
              <w:r>
                <w:rPr>
                  <w:rStyle w:val="InternetLink"/>
                  <w:rFonts w:ascii="Times New Roman;serif" w:hAnsi="Times New Roman;serif"/>
                  <w:b w:val="false"/>
                  <w:color w:val="0000FF"/>
                  <w:sz w:val="20"/>
                  <w:u w:val="single"/>
                </w:rPr>
                <w:t>11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9">
              <w:r>
                <w:rPr>
                  <w:rStyle w:val="InternetLink"/>
                  <w:rFonts w:ascii="Times New Roman;serif" w:hAnsi="Times New Roman;serif"/>
                  <w:b w:val="false"/>
                  <w:color w:val="0000FF"/>
                  <w:sz w:val="20"/>
                  <w:u w:val="single"/>
                </w:rPr>
                <w:t>DILUTION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9">
              <w:r>
                <w:rPr>
                  <w:rStyle w:val="InternetLink"/>
                  <w:rFonts w:ascii="Times New Roman;serif" w:hAnsi="Times New Roman;serif"/>
                  <w:b w:val="false"/>
                  <w:color w:val="0000FF"/>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2">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5">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5">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8">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8">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91">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91">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94">
              <w:r>
                <w:rPr>
                  <w:rStyle w:val="InternetLink"/>
                  <w:rFonts w:ascii="Times New Roman;serif" w:hAnsi="Times New Roman;serif"/>
                  <w:b w:val="false"/>
                  <w:color w:val="0000FF"/>
                  <w:sz w:val="20"/>
                  <w:u w:val="single"/>
                </w:rPr>
                <w:t>INFORMATION WE INCORPORATE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94">
              <w:r>
                <w:rPr>
                  <w:rStyle w:val="InternetLink"/>
                  <w:rFonts w:ascii="Times New Roman;serif" w:hAnsi="Times New Roman;serif"/>
                  <w:b w:val="false"/>
                  <w:color w:val="0000FF"/>
                  <w:sz w:val="20"/>
                  <w:u w:val="singl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Securities and Exchange Commission (the “SEC”) using a “shelf” registration process. Under this shelf registration process, we may from time to time sell shares of our common stock having an aggregate offering price of up to $100,000,000 under this prospectus at prices and on terms to be determined by market conditions at the time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only rely on the information contained in or incorporated by reference in this prospectus. We have not, and Cantor has not, authorized anyone to provide you with different information. We and Cantor take no responsibility for, and can provide no assurance as to the reliability of, any other information that others may give you. If anyone provides you with different or inconsistent information, you should not rely on it. We and Cantor are not making offers to sell the common stock described in this prospectus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Before purchasing our common stock, you should carefully read this prospectus together with the additional information described under the heading “Where You Can Find Additional Information” and “Information We Incorporate by Reference.” You should assume that the information contained in this prospectus is accurate only as of the date on its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References in this prospectus to the terms “we,” “us,” “our,” “the Company,” “CapsoVision,” or other similar terms refer to CapsoVision,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including the documents incorporated by reference herein, contains “forward-looking statements” within the meaning of Section 27A of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acceptance of our products by patients and doctors;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for submission of 510(k) application for our second-generation of CapsoCam Colon capsule;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receipt of and related timing for FDA 510(k) clearance of our CapsoCam Colon capsule and related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and enrollment size of our study CapsoCam UGI system and our expected resubmission of the Breakthrough Device Designation application following the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and efforts to expand into new indications in terms of new GI pathologies and expanded patient populations;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strategic plan for our business and products and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and capabilities of, our assembly manufacturers and component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expected performance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use of proceeds from this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discussed in “Risk Factors” in this prospectus supplement and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an evolving environment. New risk factors and uncertainties may emerge from time to time, and it is not possible for management to predict all risk factors and uncertainties. We caution you that the forward-looking statements in this prospectus supplement, the accompanying prospectus and the documents incorporated by reference herein and therein, are made only as of their respective dates. These statements are inherently uncertain, and investors are cautioned not to unduly rely upon these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required by applicable law, we do not plan to publicly update or revise any forward-looking statements contained or incorporated by reference herein, whether as a result of any new information, future events, changed circumstances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including the documents incorporated by reference herein,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pPr>
      <w:r>
        <w:rPr>
          <w:rFonts w:ascii="Times New Roman;serif" w:hAnsi="Times New Roman;serif"/>
          <w:b w:val="false"/>
          <w:i/>
          <w:color w:val="000000"/>
          <w:sz w:val="20"/>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w:t>
      </w:r>
      <w:hyperlink w:anchor="i395584f3465d4dec847edce5f91fa89e_73">
        <w:r>
          <w:rPr>
            <w:rStyle w:val="InternetLink"/>
            <w:rFonts w:ascii="Times New Roman;serif" w:hAnsi="Times New Roman;serif"/>
            <w:b w:val="false"/>
            <w:i/>
            <w:color w:val="0000FF"/>
            <w:sz w:val="20"/>
            <w:u w:val="single"/>
          </w:rPr>
          <w:t>7</w:t>
        </w:r>
      </w:hyperlink>
      <w:r>
        <w:rPr>
          <w:color w:val="000000"/>
        </w:rPr>
        <w:t xml:space="preserve"> </w:t>
      </w:r>
      <w:r>
        <w:rPr>
          <w:rFonts w:ascii="Times New Roman;serif" w:hAnsi="Times New Roman;serif"/>
          <w:b w:val="false"/>
          <w:i/>
          <w:color w:val="000000"/>
          <w:sz w:val="20"/>
        </w:rPr>
        <w:t xml:space="preserve">of this prospectus, along with our consolidated financial statements and notes to those consolidated financial statements and the other information incorporated by reference in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CapsoVision, Inc. is a global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Currently, our GI-tract capsule endoscopy solution comprises our single-use CapsoCam capsule and the associated software, CapsoCloud and CapsoView. The CapsoCam capsule, with its panoramic view, acquires and stores video images in onboard memory while moving through the GI tract and the software component allows healthcare providers to view the video retrieved from the capsule by either streaming it from the cloud, where it is securely stored, anywhere at their convenience using our CapsoCloud software or downloading data from the capsule themselves and reviewing it in our CapsoView software. Our first U.S. Food and Drug Administration (“FDA”) cleared capsule endoscopy is our small bowel capsule (the current generation of which we refer to as CapsoCam Plus), for which we received a CE Mark in 2011 and began commercial sales in Europe in 2012, subsequent to which we received 510(k) clearance in 2016 and began commercial sales in the U.S. in 2017. CapsoCam Plus is classified as a Class II device and is used to visualize the small bowel mucosa to detect abnormalities of the small bowel in adults and children aged 2 years and above. As of June 30, 2026, our CapsoCam Plus has been used in more than 176,000 patients. For the six months ended June 30, 2026 and 2025, we generated approximately $6.4 million and $6.1 million, respectively, primarily in revenue from sales of CapsoCam Plus, an increase of approximately 6% over the prior period. For the years ended December 31, 2025 and 2024, we generated approximately $13.6 million and $11.8 million, respectively, primarily in revenue from sales of CapsoCam Plus, an increase of approximately 15% over the prior year. Our revenue has increased in each year since we began U.S. direct sales in 2020, primarily driven by an increase in the number of CapsoCam Plus capsules sold. We are in the process of updating CapsoCam Plus to add our self-developed AI assisted pathology detection technology. We made the related FDA 510(k) submission in December 2025. In response to the FDA's feedback, we submitted a proposal to the FDA in April 2026. As further requested by the FDA, we will conduct further analysis of the study data and expect to submit the analysis to the FDA by the end of August 2026. We anticipate to obtain FDA clearance by the end of the third quarter of 2026 with commercialization planned to begin in US shortly thereafter. We also made the initial EU submission in January 2026 and submitted the related technical documents in July 2026. By the date of this prospectus, we have commercialized the AI assisted CapsoCam Plus in EU. Our AI assisted pathology detection tools detect and highlight suspected abnormalities for a clinician, reducing their time to review a capsule video and making capsule endoscopy more financially attractive to their practice.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Building upon the commercial success and the existing design of our CapsoCam Plus capsule, we developed our next pipeline capsule endoscope, CapsoCam Colon. Our CapsoCam Colon capsule (i) leverages CapsoCam Plus’s existing capsule design with its panoramic view and (ii) incorporates both our self-developed AI to automatically detect polyps in the video and our polyp-size measurement tool enabled by a 3D sensor in the capsule (polyp size being highly correlated with a polyp’s risk of becoming cancer). We submitted the 510(k) application for our first generation CapsoCam Colon capsule to the FDA in June 2025 and received responses from the FDA in September 2025. During our meeting with the FDA in December 2025, the FDA raised inquiries on topics including panoramic image processing methodology, and the proposed study design, sample size and primary endpoint for an extended study. Based on our communications with the FDA, we have decided not to further pursue the first generation CapsoCam Colon capsule submission and approval, and to prioritize our resources for the development of our second generation CapsoCam Colon capsule, featuring improved imaging quality and increased field of review with use of AI and better lens. We also expanded a second arm pivotal study to enroll approximately </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800 patients at up to 20 sites in the U.S. in preparation for submitting a new 510(k) application for the second generation CapsoCam Colon capsule. As of the date of this prospectus, we have completed the enrollment process of the second arm pivotal study with 801 patients enrolled. We currently expect to submit the 510(k) application for the second generation CapsoCam Colon capsule to the FDA in the fourth quarter of 2026, subject to any further requests from the FDA. The CapsoCam Colon would be classified as a Class II device. Additionally, we intend to seek EU approval and commercialization for the second generation CapsoCam Colon capsule shortly after the FDA clearance. There is no guarantee that the clinical results of any of our clinical trials will demonstrate the requisite performance needed to meet applicable regulatory requirements in order to obtain FDA clearance. Further, FDA review of our 510(k) submissions may be delayed and we may not receive 510(k) clearances from the FDA on a timely basis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sell CapsoCam Plus capsules in the U.S. to our customers, which primarily include gastroenterologists practicing in clinics and/or hospitals, primarily through our in-house sales team. Outside the U.S., we sell CapsoCam Plus through a combination of our in-house sales team and qualified distributors. In 2025 and 2024, international sales accounted for 21% and 23% of total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GI-tract capsule endoscopy solution is positioned to benefit from (i) our existing sales and marketing structure (with our in-house sales team and marketing team targeting sales of our various approved GI tract diagnostic products to the same target customer base), (ii) technological advancements (including improvements to our proprietary AI and other technologies and third-party supplier improvements in optics and storage capacity) and (iii) increased telemedicine adoption (following FDA clearance in December 2024 of remote ingestion of our CapsoCam Plus). We also believe our solution can be adapted to address new GI indications. Potential new medical indications include pancreatic cancer and esophageal medical conditions (such as esophageal varices and Barrett’s esophagus). In connection with our efforts to address pancreatic cancer, we submitted an FDA “Breakthrough Device Designation” for our capsule endoscopy solution on November 6, 2025. A response from FDA in January 2026 determined that the CapsoCam UGI, our capsule endoscopy system for use in early-stage pancreatic cancer detection, does allow for visualization of the papilla and its abnormalities, for both pre-cancerous and cancerous lesions. Due to the fact that the device does not specifically define diagnostic criteria, the application was not approved. Following the FDA’s response, we initiated a study for early pancreatic cancer detection using the CapsoCam UGI system in May 2026. This study will build on established scientific literature and engage leading opinion leaders, including leadership of leading societies in the pancreatobiliary field, to define malignancy diagnosis criteria with the device. This study is expected to enroll up to 140 patients using the CapsoCam UGI system. As of the date of this prospectus, three patients have been enrolled in this study. The study continues and we are working on expanding a number of clinical sites participating in the study. The Company expects to resubmit the Breakthrough Device Designation application following the study, when additional data is available. The breakthrough designation is a part of the on-going project, potentially supplementing the regulatory pathway and approval for early pancreas cancer detection. We plan to commence clinical studies of CapsoCam’s accuracy in screening esophageal varices (i.e. enlarged blood veins in the esophagus) in cirrhotic patients with portal hypertension in the second half of 2027 subject to timely availability of sufficient funding and liquidity and/or potential adjustment of our clinical development priorities.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18805 Cox Avenue, Suite 250, Saratoga, California 95070, our telephone number is (408) 624-1488, and our website is www.capsovision.com. The information contained on or that can be accessed through our website does not constitute part of this prospectus,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688"/>
        <w:gridCol w:w="556"/>
        <w:gridCol w:w="560"/>
        <w:gridCol w:w="2502"/>
        <w:gridCol w:w="2444"/>
        <w:gridCol w:w="3455"/>
      </w:tblGrid>
      <w:tr>
        <w:trPr/>
        <w:tc>
          <w:tcPr>
            <w:tcW w:w="68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Issuer</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CapsoVision, Inc.</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Offered By Us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our common stock having an aggregate offering price of up to $100,000,000.</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Common Stock to be Outstanding After this Offering</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64,609,407 shares of our common stock, assuming sales of 14,577,259 shares of common stock in this offering at an offering price of $6.86 per share, which was the last reported sale price of our common stock on The Nasdaq Capital Market on August 12, 2026. The actual number of shares issued will vary depending on the sales prices at which such shares are sold pursuant to this offering.</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Manner of Offering</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will sell the shares of our common stock offered hereby by any method permitted that is deemed an “at the market offering” as defined in Rule 415(a)(4) under the Securities Act, through our sales agent, Cantor. See “Plan of Distribution.”</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common stock offered under this prospectus for general corporate purposes, including sales and marketing, research and development activities, general and administrative matters and working capital.</w:t>
            </w:r>
          </w:p>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 specific use of net proceeds as described in this prospectus, we intend to invest the net proceeds to us from this offering in money market funds. See “Use of Proceeds.”</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Capital Market Symbol</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CV”</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Investing in our common stock involves a high degree of risk. See “Risk Factors” beginning on page </w:t>
            </w:r>
            <w:hyperlink w:anchor="i395584f3465d4dec847edce5f91fa89e_73">
              <w:r>
                <w:rPr>
                  <w:rStyle w:val="InternetLink"/>
                  <w:rFonts w:ascii="Times New Roman;serif" w:hAnsi="Times New Roman;serif"/>
                  <w:b w:val="false"/>
                  <w:color w:val="0000FF"/>
                  <w:sz w:val="20"/>
                  <w:u w:val="single"/>
                </w:rPr>
                <w:t>7</w:t>
              </w:r>
            </w:hyperlink>
            <w:r>
              <w:rPr>
                <w:color w:val="000000"/>
              </w:rPr>
              <w:t xml:space="preserve"> </w:t>
            </w:r>
            <w:r>
              <w:rPr>
                <w:rFonts w:ascii="Times New Roman;serif" w:hAnsi="Times New Roman;serif"/>
                <w:b w:val="false"/>
                <w:color w:val="000000"/>
                <w:sz w:val="20"/>
              </w:rPr>
              <w:t>of this prospectus and in the documents incorporated by reference into this prospectus for a discussion of certain factors to consider carefully before deciding to purchase any shares of our common stock.</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our common stock to be outstanding after this offering is based on 50,032,148 shares of our common stock outstanding as of June 30, 2026, and excludes the following:</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3,734,268 shares of our common stock issuable upon the exercise of outstanding stock options as of June 30, 2026, with a weighted-average exercise price of $4.53 per share; </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 and</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Before deciding to invest in our common stock, you should carefully consider the risks and uncertainties described below together with all of the other information contained in this prospectus and in the documents incorporated by reference herein, including the risks described in “Item 1A. Risk Factors” of our most recent Annual Report on Form 10-K or Quarterly Report on Form 10-Q filed with the SEC, as such risk factors may be amended, supplemented or superseded from time to time by other reports we file with the SEC, including subsequent Annual Reports on Form 10-K and Quarterly Reports on Form 10-Q. If any of these risks actually occur, our business, prospects, operating results and financial condition could suffer materially. In such event, the trading price of our common stock could decline and you might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We will remain an “emerging growth company” until the earliest to occur 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are deemed to be a “large accelerated filer” under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meaning that the market value of our stock held by non-affiliates plus the aggregate amount of gross proceeds to us as a result our IPO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may be limited by the terms of any future debt or preferred securities we issue or any future credit facilities we enter into.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Lock-up agreements covering approximately 41.1 million pre-IPO shares of our outstanding common stock entered into in connection with our IPO expired in early January 2026 and these shares may now be sold, subject to any applicable volume limitations under federal securities laws,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at a time and price that we deem appropriate. If our existing stockholders sell, or indicate an intention to sell, substantial amounts of our common stock in the public market, the trading price of our common stock could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securities analysts publish about us or our business. Although we have research coverage by analysts, if coverage is not maintained, the market price for our stock would be negatively impacted.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corporate headquarters and manufacturing facilities are located in Saratoga,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you purchase the common stock sold in this offering, you may experience immediate and substantial dilution in your investment. You may experience further dilution if we issue additional equity securities in the future.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the price per share of our common stock being offered may be higher than the current book value per share of our common stock, you may experience immediate and substantial dilution with respect to the net tangible book value of the shares of common stock you purchase in this offering. Assuming sales of 14,577,259 shares of our common stock in this offering at an offering price of $6.86 per share, which was the last reported sale price of our common stock on The Nasdaq Capital Market on August 12, 2026, for aggregate gross proceeds of approximately $100,000,000, and after deducting commissions and estimated offering expenses payable by us, our as adjusted net tangible book value as of June 30, 2026 would have been $109.9 million or $1.70 per share of common stock. See “Dilution.” The actual amount of dilution will be based on a number of factors, including the use of proceeds, and cannot be determined at this time. We may also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or result in downward pressure on the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broad discretion in how we use the net proceeds of this offering, and we may not use these proceeds effectively or in ways with which you agree.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as to the application of the net proceeds of this offering and could use them for purposes other than those contemplated at the time of this offering. See “Use of Proceeds.” Our stockholders may not agree with the manner in which our management chooses to allocate and spend the net proceeds. Moreover, our management may use the net proceeds for corporate purposes that may not yield profitable results or increase the market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common stock offered hereby will be sold in “at the market offerings,” and investors who buy shares at different times will likely pay different prices.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 Sales Agreement does not specify any required minimum or maximum sales price. Investors may experience a decline in the value of their shares as a result of share sales made at prices lower than the prices they paid.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actual number of shares we may issue under the Sales Agreement, at any one time or in total, is uncertain and you may experience future dilution as a result of future equity offerings.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in the Sales Agreement and compliance with applicable law, we have the discretion to submit an order to Cantor to sell shares of our common stock at any time throughout the term of the Sales Agreement. The number of shares that are sold by Cantor after we submit any such order will fluctuate based on the market price of the common stock during the sales period and limits we set with Cantor. Because the price per share of each share sold will fluctuate based on the market price of our common stock during the sales period, it is not possible at this stage to predict the number of shares that will be ultimately issued. In addition, in order to raise additional capital, we may offer in the future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investors in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common stock offered under this prospectus for general corporate purposes, including sales and marketing, research and development activities, general and administrative matters, and working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specific use of net proceeds as described in this prospectus, we intend to invest the net proceeds to us from this offering in money market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2026 was approximately $13.2 million, or approximately $0.26 per share of common stock based upon 50,032,148 shares outstanding. Net tangible book value per share is equal to our total tangible assets, less our total liabilities, divided by the total number of shares outstanding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giving effect to the sale of our common stock in this offering in the aggregate amount of $100,000,000 at an assumed offering price of $6.86 per share, the last reported sale price of our common stock on The Nasdaq Capital Market on August 12, 2026, and after deducting commissions and estimated offering expenses payable by us, our as adjusted net tangible book value as of June 30, 2026 would have been $109.9 million, or $1.70 per share of common stock. This represents an immediate increase in net tangible book value of $1.44 per share to our existing stockholders and an immediate dilution in net tangible book value of $5.16 per share to new investors in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$100,000,000 is sold at the assumed offering price of $6.86 per share, the last reported sale price of our common stock on The Nasdaq Capital Market on August 12, 2026. The shares sold in this offering, if any, will be sold from time to time at various prices. </w:t>
      </w:r>
    </w:p>
    <w:tbl>
      <w:tblPr>
        <w:tblW w:w="8573" w:type="dxa"/>
        <w:jc w:val="left"/>
        <w:tblInd w:w="0" w:type="dxa"/>
        <w:tblLayout w:type="fixed"/>
        <w:tblCellMar>
          <w:top w:w="28" w:type="dxa"/>
          <w:left w:w="28" w:type="dxa"/>
          <w:bottom w:w="28" w:type="dxa"/>
          <w:right w:w="28" w:type="dxa"/>
        </w:tblCellMar>
      </w:tblPr>
      <w:tblGrid>
        <w:gridCol w:w="2370"/>
        <w:gridCol w:w="2080"/>
        <w:gridCol w:w="2089"/>
        <w:gridCol w:w="211"/>
        <w:gridCol w:w="511"/>
        <w:gridCol w:w="109"/>
        <w:gridCol w:w="109"/>
        <w:gridCol w:w="109"/>
        <w:gridCol w:w="109"/>
        <w:gridCol w:w="211"/>
        <w:gridCol w:w="511"/>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giving effect to this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participating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and calculations above are based on 50,032,148 shares of our common stock outstanding as of June 30, 2026, and exclude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3,734,268 shares of our common stock issuable upon the exercise of outstanding stock options as of June 30, 2026, with a weighted-average exercise price of $4.53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 increase of $1.00 per share in the price at which the shares are sold from the assumed offering price of $6.86 per share shown in the table above would increase our adjusted net tangible book value per share after the offering to $1.75 per share and would increase the dilution in net tangible book value per share to new investors in this offering to $6.11 per share, after deducting commissions and estimated aggregate offering expenses payable by us. A decrease of $1.00 per share in the price at which the shares are sold from the assumed offering price of $6.86 per share shown in the table above would decrease our adjusted net tangible book value per share after the offering to $1.64 per share and would decrease the dilution in net tangible book value per share to new investors in this offering to $4.22 per share, after deducting commissions and estimated aggregate offering expenses payable by us. This information is supplied for illustrative purposes only. </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outstanding warrants and options are exercised or outstanding restricted stock units vest,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the Sales Agreement with Cantor under which we may offer and sell up to $100,000,000 of our common stock from time to time through Cantor acting as our sales agent or principal. Sales of our common stocks, if any, under this prospectus will be made by any method that is deemed to be an “at the market offering” as defined in Rule 415(a)(4)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we wish to issue and sell our common stock under the Sales Agreement, we will notify Cantor of the number of shares of common stock to be issued, the dates on which such sales are anticipated to be made, any limitation on the number of shares of common stock to be sold in any one day and any minimum price below which sales may not be made. Once we have so instructed Cantor, unless Cantor declines to accept the terms of such notice, Cantor has agreed to use its commercially reasonable efforts consistent with its normal trading and sales practices to sell on our behalf all of the shares of common stock requested to be sold by us under the terms and subject to the conditions set forth in the Sales Agreement. The obligations of Cantor under the Sales Agreement to sell our common stock are subject to a number of conditions that we must meet.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settlement of sales of common stock between us and Cantor will occur, unless the parties otherwise agree, on the first trading day following the date on which the sale was made. Sales of our common stock as contemplated in this prospectus will be settled through the facilities of The Depository Trust Company or by such other means as we and Cantor may agree upon. There is no arrangement for funds to be received in an escrow, trust or similar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Cantor a commission of up to 3.0% of the aggregate gross proceeds we receive from each sale of our common stock under the Sales Agreement. Because there is no minimum offering amount required as a condition to close this offering, the actual total public offering amount, commissions and proceeds to us, if any, are not determinable at this time. In addition, we have agreed to reimburse Cantor for the fees and expenses of its counsel in an amount not to exceed $75,000 in connection with the execution and initial filing of the Sales Agreement with the SEC and for certain ongoing fees and expenses. We estimate that the total expenses for the offering, excluding any commissions or expense reimbursement payable to Cantor under the terms of the Sales Agreement, will be approximately $0.39 million. The remaining sale proceeds, after deducting any other transaction fees, will equal our net proceeds from the sale of such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Cantor will provide written confirmation to us before the open on The Nasdaq Capital Market on the day following each day on which our common stock is sold under the Sales Agreement. Each confirmation will include the number of shares of common stock sold on that day, the aggregate gross proceeds of such sales and the proceeds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our common stock on our behalf, Cantor will be deemed to be an “underwriter” within the meaning of the Securities Act, and the compensation of Cantor will be deemed to be underwriting commissions or discounts. We have agreed to indemnify Cantor against certain civil liabilities, including liabilities under the Securities Act. We have also agreed to contribute to payments Cantor may be required to make in respect of such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offering of our common stock pursuant to the Sales Agreement will terminate upon the termination of the Sales Agreement as permitted therein. We and Cantor may each terminate the Sales Agreement at any time upon ten (10) business days’ prior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summary of the material provisions of the Sales Agreement does not purport to be a complete statement of its terms and conditions. The Sales Agreement is filed as an exhibit to the registration statement of which this prospectus forms a part and is incorporated by reference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Cantor and its affiliates may in the future provide various investment banking, commercial banking, financial advisory and other financial services for us and our affiliates, for which services they may in the future receive customary fees. In the course of its business, Cantor may actively trade our securities for its own account or for the accounts of customers, and, accordingly, Cantor may at any time hold long or short positions in such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may be made available in electronic format on a website maintained by Cantor, and Cantor may distribute this prospectus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common stock being offered by this prospectus will be passed upon for us by O’Melveny &amp; Myers LLP. Certain matters will be passed upon for Cantor by Duane Morris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CapsoVision, Inc. as of and for the years ended December 31, 2024 and 2025 incorporated by reference in this prospectus, have been audited by Baker Tilly US, LLP, an independent registered public accounting firm, as set forth in their report incorporated by reference in this prospectus, in reliance upon such report and upon the authority of said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 This prospectus does not contain all of the information included in the registration statement. The full registration statement may be obtained from the SEC or us, as provided below.</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We also maintain a website located at </w:t>
      </w:r>
      <w:r>
        <w:rPr>
          <w:rFonts w:ascii="Times New Roman;serif" w:hAnsi="Times New Roman;serif"/>
          <w:b w:val="false"/>
          <w:i/>
          <w:color w:val="000000"/>
          <w:sz w:val="20"/>
        </w:rPr>
        <w:t>www.capsovision.com</w:t>
      </w:r>
      <w:r>
        <w:rPr>
          <w:rFonts w:ascii="Times New Roman;serif" w:hAnsi="Times New Roman;serif"/>
          <w:b w:val="false"/>
          <w:color w:val="000000"/>
          <w:sz w:val="20"/>
        </w:rPr>
        <w:t xml:space="preserve">, where these SEC filings and other information about the Company can be accessed, free of charge, as soon as reasonably practicable after we electronically file the information with, or furnish it to, the SEC. The information contained on or that can be accessed through our website does not constitute part of this prospectus, except for reports filed with the SEC that are specifically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INFORMATION WE INCORPORATE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 this prospectus the following documents and reports we filed with the SEC (other than, in each case, the portions that are deemed to have been furnished and not filed in accordance with SEC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16">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that are incorporated by reference into Part III of our Annual Report on Form 10-K for the year ended December 31, 2025, as filed with the SEC on </w:t>
      </w:r>
      <w:hyperlink r:id="rId17">
        <w:r>
          <w:rPr>
            <w:rStyle w:val="InternetLink"/>
            <w:rFonts w:ascii="Times New Roman;serif" w:hAnsi="Times New Roman;serif"/>
            <w:b w:val="false"/>
            <w:color w:val="0000FF"/>
            <w:sz w:val="20"/>
            <w:u w:val="single"/>
          </w:rPr>
          <w:t>April 28,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18">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19">
        <w:r>
          <w:rPr>
            <w:rStyle w:val="InternetLink"/>
          </w:rPr>
          <w:t xml:space="preserve">August </w:t>
        </w:r>
      </w:hyperlink>
      <w:hyperlink r:id="rId20">
        <w:r>
          <w:rPr>
            <w:rStyle w:val="InternetLink"/>
          </w:rPr>
          <w:t>13</w:t>
        </w:r>
      </w:hyperlink>
      <w:hyperlink r:id="rId21">
        <w:r>
          <w:rPr>
            <w:rStyle w:val="InternetLink"/>
          </w:rPr>
          <w:t>,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22">
        <w:r>
          <w:rPr>
            <w:rStyle w:val="InternetLink"/>
            <w:rFonts w:ascii="Times New Roman;serif" w:hAnsi="Times New Roman;serif"/>
            <w:b w:val="false"/>
            <w:color w:val="0000FF"/>
            <w:sz w:val="20"/>
            <w:u w:val="single"/>
          </w:rPr>
          <w:t>March 13,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March 20, 2026</w:t>
        </w:r>
      </w:hyperlink>
      <w:r>
        <w:rPr>
          <w:color w:val="000000"/>
        </w:rPr>
        <w:t xml:space="preserve"> </w:t>
      </w:r>
      <w:r>
        <w:rPr>
          <w:rFonts w:ascii="Times New Roman;serif" w:hAnsi="Times New Roman;serif"/>
          <w:b w:val="false"/>
          <w:color w:val="000000"/>
          <w:sz w:val="20"/>
        </w:rPr>
        <w:t xml:space="preserve">(with respect to Items 1.01, 3.02, 8.01 and Exhibits 10.1 and 10.2 of Item 9.01 only), </w:t>
      </w:r>
      <w:hyperlink r:id="rId24">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July 2, 2026</w:t>
        </w:r>
      </w:hyperlink>
      <w:r>
        <w:rPr>
          <w:color w:val="000000"/>
        </w:rPr>
        <w:t xml:space="preserve"> </w:t>
      </w:r>
      <w:r>
        <w:rPr>
          <w:rFonts w:ascii="Times New Roman;serif" w:hAnsi="Times New Roman;serif"/>
          <w:b w:val="false"/>
          <w:color w:val="000000"/>
          <w:sz w:val="20"/>
        </w:rPr>
        <w:t xml:space="preserve">(with respect to Item 5.02 and Exhibits 10.1 and 10.2 of Item 9.01 only) and </w:t>
      </w:r>
      <w:hyperlink r:id="rId26">
        <w:r>
          <w:rPr>
            <w:rStyle w:val="InternetLink"/>
            <w:rFonts w:ascii="Times New Roman;serif" w:hAnsi="Times New Roman;serif"/>
            <w:b w:val="false"/>
            <w:color w:val="0000FF"/>
            <w:sz w:val="20"/>
            <w:u w:val="single"/>
          </w:rPr>
          <w:t>August 13, 2026</w:t>
        </w:r>
      </w:hyperlink>
      <w:r>
        <w:rPr>
          <w:color w:val="000000"/>
        </w:rPr>
        <w:t xml:space="preserve"> </w:t>
      </w:r>
      <w:r>
        <w:rPr>
          <w:rFonts w:ascii="Times New Roman;serif" w:hAnsi="Times New Roman;serif"/>
          <w:b w:val="false"/>
          <w:color w:val="000000"/>
          <w:sz w:val="20"/>
        </w:rPr>
        <w:t>(with respect to Item 1.01 and Exhibit 10.1 of Item 9.01 only);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par value $0.001 per share, contained in our Registration Statement on </w:t>
      </w:r>
      <w:hyperlink r:id="rId27">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June 13, 2025 (File No. 001-42705), and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by reference the information contained in all other documents that we file with the SEC pursuant to Sections 13(a), 13(c), 14 or 15(d) of the Securities Exchange Act of 1934, as amended, or the Exchange Act, (other than the portions that are deemed to have been furnished and not filed in accordance with SEC rules, unless otherwise indicated therein), on or after the date of the registration statement of which this prospectus forms a part and prior to its effectiveness and prior to the completion of the offering of all securities under this prospectus and any prospectus supplement. The information contained in any such document will be considered part of this prospectus from the date the document is filed with the SEC. Any statement contained in a document incorporated or deemed to be incorporated by reference herein shall be deemed to be modified or superseded for purposes of this prospectus and any accompanying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or any accompanying prospectus supplement. We will provide to each person, including any beneficial owner, to whom a prospectus (or a notice of registration in lieu thereof) is delivered, a copy of any or all of the documents incorporated by reference in this prospectus or any accompanying prospectus supplement (other than an exhibit to these filings, unless the exhibit is specifically incorporated by reference in the document requested) at no cost. Any such request can be made by writing or telephoning us at the following address and telephone number: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CapsoVision,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18805 Cox Avenue, Suite 250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Saratoga, CA 95070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Telephone: (408) 624-1488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4"/>
        </w:rPr>
      </w:pPr>
      <w:r>
        <w:rPr>
          <w:rFonts w:ascii="Times New Roman;serif" w:hAnsi="Times New Roman;serif"/>
          <w:b/>
          <w:color w:val="000000"/>
          <w:sz w:val="24"/>
        </w:rPr>
        <w:t xml:space="preserve">Up to $100,000,000 </w:t>
      </w:r>
    </w:p>
    <w:p>
      <w:pPr>
        <w:pStyle w:val="TextBody"/>
        <w:bidi w:val="0"/>
        <w:spacing w:before="0" w:after="400"/>
        <w:jc w:val="center"/>
        <w:rPr/>
      </w:pPr>
      <w:r>
        <w:rPr/>
        <w:drawing>
          <wp:inline distT="0" distB="0" distL="0" distR="0">
            <wp:extent cx="1666875" cy="8191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28"/>
                    <a:stretch>
                      <a:fillRect/>
                    </a:stretch>
                  </pic:blipFill>
                  <pic:spPr bwMode="auto">
                    <a:xfrm>
                      <a:off x="0" y="0"/>
                      <a:ext cx="1666875" cy="819150"/>
                    </a:xfrm>
                    <a:prstGeom prst="rect">
                      <a:avLst/>
                    </a:prstGeom>
                  </pic:spPr>
                </pic:pic>
              </a:graphicData>
            </a:graphic>
          </wp:inline>
        </w:drawing>
      </w:r>
    </w:p>
    <w:p>
      <w:pPr>
        <w:pStyle w:val="TextBody"/>
        <w:bidi w:val="0"/>
        <w:spacing w:lineRule="auto" w:line="288" w:before="0" w:after="60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600"/>
        <w:jc w:val="center"/>
        <w:rPr>
          <w:rFonts w:ascii="Times New Roman;serif" w:hAnsi="Times New Roman;serif"/>
          <w:b/>
          <w:color w:val="000000"/>
          <w:sz w:val="28"/>
        </w:rPr>
      </w:pPr>
      <w:r>
        <w:rPr>
          <w:rFonts w:ascii="Times New Roman;serif" w:hAnsi="Times New Roman;serif"/>
          <w:b/>
          <w:color w:val="000000"/>
          <w:sz w:val="28"/>
        </w:rPr>
        <w:t>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PROSPECTUS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5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00"/>
        <w:gridCol w:w="400"/>
        <w:gridCol w:w="4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0"/>
        <w:jc w:val="center"/>
        <w:rPr>
          <w:color w:val="000000"/>
        </w:rPr>
      </w:pPr>
      <w:r>
        <w:rPr>
          <w:color w:val="000000"/>
        </w:rPr>
        <w:t>          </w:t>
      </w:r>
      <w:r>
        <w:rPr>
          <w:rFonts w:ascii="Times New Roman;serif" w:hAnsi="Times New Roman;serif"/>
          <w:b/>
          <w:color w:val="000000"/>
          <w:sz w:val="20"/>
        </w:rPr>
        <w:t>,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statement of the estimated expenses, to be paid solely by the registrant, of the issuance and distribution of the securities being registered hereby:</w:t>
      </w:r>
    </w:p>
    <w:tbl>
      <w:tblPr>
        <w:tblW w:w="3771" w:type="dxa"/>
        <w:jc w:val="left"/>
        <w:tblInd w:w="0" w:type="dxa"/>
        <w:tblLayout w:type="fixed"/>
        <w:tblCellMar>
          <w:top w:w="28" w:type="dxa"/>
          <w:left w:w="28" w:type="dxa"/>
          <w:bottom w:w="28" w:type="dxa"/>
          <w:right w:w="28" w:type="dxa"/>
        </w:tblCellMar>
      </w:tblPr>
      <w:tblGrid>
        <w:gridCol w:w="973"/>
        <w:gridCol w:w="854"/>
        <w:gridCol w:w="858"/>
        <w:gridCol w:w="211"/>
        <w:gridCol w:w="72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Trustee’s fees and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fees and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Rating agency fees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6" w:type="dxa"/>
            <w:gridSpan w:val="3"/>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is qualified in its entirety by reference to the complete copy of the DGCL, and our Certificate of Incorporation and our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145 of the DGCL grants each Delaware corporation the power to indemnify any person who is or was a director, officer, employee or agent of a corporation,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corporation, by reason of serving or having served in any such capacity, if he or she acted in good faith in a manner reasonably believed to be in, or not opposed to, the best interests of the corporation, and, with respect to any criminal action or proceeding, had no reasonable cause to believe his or her conduct was unlawful. A Delaware corporation may similarly indemnify any such person in actions by or in the right of the corporation if he or she acted in good faith in a manner reasonably believed to be in, or not opposed to, the best interests of the corporation, except that no indemnification may be made in respect of any claim, issue or matter as to which the person shall have been adjudged to be liable to the corporation unless and only to the extent that the Delaware Court of Chancery or the court in which the action was brought determines that, despite adjudication of liability, but in view of all of the circumstances of the case, the person is fairly and reasonably entitled to indemnity for expenses which the Delaware Court of Chancery or other court shall deem proper.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102(b)(7) of the DGCL enables a corporation in its certificate of incorporation, or an amendment thereto, to eliminate or limit the personal liability of a director or officer to the corporation or its stockholders for monetary damages for violations of the director’s or officer’s fiduciary duty, except (i) for any breach of the director’s or officer’s duty of loyalty to the corporation or its stockholders, (ii) for acts or omissions not in good faith or which involve intentional misconduct or a knowing violation of law, (iii) pursuant to Section 174 of the DGCL (providing for director liability with respect to unlawful payment of dividends or unlawful stock purchases or redemptions); (iv) for any transaction from which a director or officer derived an improper personal benefit; or (v) an officer in any action by or in the right of the corporation. Our Certificate of Incorporation provides for such limitation of liability.</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indemnify our directors and officers to the full extent permitted by the DGCL and our Certificate of Incorporation also allows our board of directors to indemnify other employees. This indemnification extends to the payment of judgments in actions against officers and directors and to reimbursement of amounts paid in settlement of such claims or actions and may apply to judgments in favor of us or amounts paid in settlement to us. This indemnification also extends to the payment of attorneys’ fees and expenses of officers and directors in suits against them where the officer or director acted in good faith and in a manner he or she reasonably believed to be in, or not opposed to, our best interests, and, with respect to any criminal action or proceeding, he or she had no reasonable cause to believe his or her conduct was unlawful. This right of indemnification is not exclusive of any right to which the officer or director may be entitled as a matter of law and shall extend and apply to the estates of deceased officers and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indemnification required in our Certificate of Incorporation and Bylaws, we have also entered into director indemnity agreements and officer indemnity agreements, which provide for the indemnification of our directors and officers for all reasonable expenses and liabilities incurred in connection with any action or proceeding brought against them by reason of the fact that they are or were our agents.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a directors’ and officers’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list of exhibits included as part of this registration statement is set forth in the Exhibit Index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(a)(1)(ii) and (a)(1)(iii) of this section do not apply if the information required to be included by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of 1933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96"/>
        <w:gridCol w:w="2625"/>
        <w:gridCol w:w="375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Controlled Equity Offering</w:t>
              </w:r>
            </w:hyperlink>
            <w:hyperlink r:id="rId30">
              <w:r>
                <w:rPr>
                  <w:rStyle w:val="InternetLink"/>
                  <w:rFonts w:ascii="Times New Roman;serif" w:hAnsi="Times New Roman;serif"/>
                  <w:b w:val="false"/>
                  <w:color w:val="0000FF"/>
                  <w:sz w:val="13"/>
                  <w:u w:val="single"/>
                </w:rPr>
                <w:t>SM</w:t>
              </w:r>
            </w:hyperlink>
            <w:hyperlink r:id="rId31">
              <w:r>
                <w:rPr>
                  <w:rStyle w:val="InternetLink"/>
                  <w:color w:val="0000FF"/>
                  <w:u w:val="single"/>
                </w:rPr>
                <w:t xml:space="preserve"> </w:t>
              </w:r>
            </w:hyperlink>
            <w:hyperlink r:id="rId32">
              <w:r>
                <w:rPr>
                  <w:rStyle w:val="InternetLink"/>
                  <w:rFonts w:ascii="Times New Roman;serif" w:hAnsi="Times New Roman;serif"/>
                  <w:b w:val="false"/>
                  <w:color w:val="000080"/>
                  <w:sz w:val="20"/>
                  <w:u w:val="single"/>
                </w:rPr>
                <w:t xml:space="preserve">Sales Agreement, dated August </w:t>
              </w:r>
            </w:hyperlink>
            <w:hyperlink r:id="rId33">
              <w:r>
                <w:rPr>
                  <w:rStyle w:val="InternetLink"/>
                  <w:rFonts w:ascii="Times New Roman;serif" w:hAnsi="Times New Roman;serif"/>
                  <w:b w:val="false"/>
                  <w:color w:val="000080"/>
                  <w:sz w:val="20"/>
                  <w:u w:val="single"/>
                </w:rPr>
                <w:t>13</w:t>
              </w:r>
            </w:hyperlink>
            <w:hyperlink r:id="rId34">
              <w:r>
                <w:rPr>
                  <w:rStyle w:val="InternetLink"/>
                  <w:rFonts w:ascii="Times New Roman;serif" w:hAnsi="Times New Roman;serif"/>
                  <w:b w:val="false"/>
                  <w:color w:val="000080"/>
                  <w:sz w:val="20"/>
                  <w:u w:val="single"/>
                </w:rPr>
                <w:t>, 2026, by and between CapsoVision, Inc. and Cantor Fitzgerald &amp; Co.</w:t>
              </w:r>
            </w:hyperlink>
            <w:hyperlink r:id="rId35">
              <w:r>
                <w:rPr>
                  <w:rStyle w:val="InternetLink"/>
                  <w:rFonts w:ascii="Times New Roman;serif" w:hAnsi="Times New Roman;serif"/>
                  <w:b w:val="false"/>
                  <w:color w:val="000080"/>
                  <w:sz w:val="20"/>
                  <w:u w:val="single"/>
                </w:rPr>
                <w:t xml:space="preserve"> </w:t>
              </w:r>
            </w:hyperlink>
            <w:hyperlink r:id="rId36">
              <w:r>
                <w:rPr>
                  <w:rStyle w:val="InternetLink"/>
                  <w:rFonts w:ascii="Times New Roman;serif" w:hAnsi="Times New Roman;serif"/>
                  <w:b w:val="false"/>
                  <w:color w:val="000080"/>
                  <w:sz w:val="20"/>
                  <w:u w:val="single"/>
                </w:rPr>
                <w:t>(incorporated by reference to Exhibit 1</w:t>
              </w:r>
            </w:hyperlink>
            <w:hyperlink r:id="rId37">
              <w:r>
                <w:rPr>
                  <w:rStyle w:val="InternetLink"/>
                  <w:rFonts w:ascii="Times New Roman;serif" w:hAnsi="Times New Roman;serif"/>
                  <w:b w:val="false"/>
                  <w:color w:val="000080"/>
                  <w:sz w:val="20"/>
                  <w:u w:val="single"/>
                </w:rPr>
                <w:t>0</w:t>
              </w:r>
            </w:hyperlink>
            <w:hyperlink r:id="rId38">
              <w:r>
                <w:rPr>
                  <w:rStyle w:val="InternetLink"/>
                  <w:rFonts w:ascii="Times New Roman;serif" w:hAnsi="Times New Roman;serif"/>
                  <w:b w:val="false"/>
                  <w:color w:val="000080"/>
                  <w:sz w:val="20"/>
                  <w:u w:val="single"/>
                </w:rPr>
                <w:t xml:space="preserve">.1 to the Registrant’s Current Report on Form 8-K filed on August </w:t>
              </w:r>
            </w:hyperlink>
            <w:hyperlink r:id="rId39">
              <w:r>
                <w:rPr>
                  <w:rStyle w:val="InternetLink"/>
                  <w:rFonts w:ascii="Times New Roman;serif" w:hAnsi="Times New Roman;serif"/>
                  <w:b w:val="false"/>
                  <w:color w:val="000080"/>
                  <w:sz w:val="20"/>
                  <w:u w:val="single"/>
                </w:rPr>
                <w:t>13</w:t>
              </w:r>
            </w:hyperlink>
            <w:hyperlink r:id="rId40">
              <w:r>
                <w:rPr>
                  <w:rStyle w:val="InternetLink"/>
                  <w:rFonts w:ascii="Times New Roman;serif" w:hAnsi="Times New Roman;serif"/>
                  <w:b w:val="false"/>
                  <w:color w:val="000080"/>
                  <w:sz w:val="20"/>
                  <w:u w:val="single"/>
                </w:rPr>
                <w:t>, 2026 (File No. 001-42705)).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Amended and Restated Certificate of Incorporation (incorporated by reference to Exhibit 3.1 to the Registrant’s Current Report on Form 8-K filed on July 3, 2025 (File No. 001-42705)).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Amended and Restated Bylaws (incorporated by reference to Exhibit 3.2 to the Registrant’s Current Report on Form 8-K filed on July 3, 2025 (File No. 001-42705)).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Form of Common Stock Certificate (incorporated by reference to Exhibit 4.1 to Amendment No. 2 to the Registrant’s Registration Statement (File No. 333-287148), filed on June 13,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Amended and Restated Investors’ Rights Agreement, dated November 21, 2019, by and among CapsoVision, Inc. and the investors listed therein (incorporated by reference to Exhibit 4.2 to the Registrant’s Registration Statement (File No. 333-287148), filed on May 9,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Form of Representative’s Warrant (incorporated by reference to Exhibit 4.3 to Amendment No. 3 to the Registrant’s Registration Statement (File No. 333-287148), filed on June 27,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 and Warrant Certificate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Rights Agreement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 and Unit Certificate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 xml:space="preserve">Opinion of O’Melveny &amp; Myers LLP relating to base prospectus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sx3.htm">
              <w:r>
                <w:rPr>
                  <w:rStyle w:val="InternetLink"/>
                  <w:rFonts w:ascii="Times New Roman;serif" w:hAnsi="Times New Roman;serif"/>
                  <w:b w:val="false"/>
                  <w:color w:val="0000FF"/>
                  <w:sz w:val="20"/>
                  <w:u w:val="single"/>
                </w:rPr>
                <w:t>Opinion of O’Melveny &amp; Myers LLP relating to ATM prospectus</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htm">
              <w:r>
                <w:rPr>
                  <w:rStyle w:val="InternetLink"/>
                  <w:rFonts w:ascii="Times New Roman;serif" w:hAnsi="Times New Roman;serif"/>
                  <w:b w:val="false"/>
                  <w:color w:val="0000FF"/>
                  <w:sz w:val="20"/>
                  <w:u w:val="single"/>
                </w:rPr>
                <w:t>Consent of Baker Tilly US, LLP, independent registered public accounting firm</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Consent of O’Melveny &amp; Myers LLP (included in Exhibit 5.1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sx3.htm">
              <w:r>
                <w:rPr>
                  <w:rStyle w:val="InternetLink"/>
                  <w:rFonts w:ascii="Times New Roman;serif" w:hAnsi="Times New Roman;serif"/>
                  <w:b w:val="false"/>
                  <w:color w:val="0000FF"/>
                  <w:sz w:val="20"/>
                  <w:u w:val="single"/>
                </w:rPr>
                <w:t>Consent of O’Melveny &amp; Myers LLP (included in Exhibit 5.2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115">
              <w:r>
                <w:rPr>
                  <w:rStyle w:val="InternetLink"/>
                  <w:rFonts w:ascii="Times New Roman;serif" w:hAnsi="Times New Roman;serif"/>
                  <w:b w:val="false"/>
                  <w:color w:val="0000FF"/>
                  <w:sz w:val="20"/>
                  <w:u w:val="single"/>
                </w:rPr>
                <w:t>Power of Attorney (included on signature page hereto)</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vexfilingfees.htm">
              <w:r>
                <w:rPr>
                  <w:rStyle w:val="InternetLink"/>
                  <w:rFonts w:ascii="Times New Roman;serif" w:hAnsi="Times New Roman;serif"/>
                  <w:b w:val="false"/>
                  <w:color w:val="0000FF"/>
                  <w:sz w:val="20"/>
                  <w:u w:val="single"/>
                </w:rPr>
                <w:t>Calculation of Filing Fee Tables</w:t>
              </w:r>
            </w:hyperlink>
            <w:r>
              <w:rPr>
                <w:color w:val="000000"/>
              </w:rPr>
              <w:t xml:space="preserve"> </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if necessary, either by amendment to this registration statement or as an exhibit to a document to be incorporated by reference in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Saratoga, California, on August 13, 2026.</w:t>
      </w:r>
    </w:p>
    <w:tbl>
      <w:tblPr>
        <w:tblW w:w="4460" w:type="dxa"/>
        <w:jc w:val="left"/>
        <w:tblInd w:w="0" w:type="dxa"/>
        <w:tblLayout w:type="fixed"/>
        <w:tblCellMar>
          <w:top w:w="28" w:type="dxa"/>
          <w:left w:w="28" w:type="dxa"/>
          <w:bottom w:w="28" w:type="dxa"/>
          <w:right w:w="28" w:type="dxa"/>
        </w:tblCellMar>
      </w:tblPr>
      <w:tblGrid>
        <w:gridCol w:w="124"/>
        <w:gridCol w:w="109"/>
        <w:gridCol w:w="109"/>
        <w:gridCol w:w="303"/>
        <w:gridCol w:w="303"/>
        <w:gridCol w:w="303"/>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Kang-Huai (Johnny) Wang as his or her true and lawful attorney-in-fact and agent, with full powers of substitution and resubstitution, for and in his or her name, place and stead, in any and all capacities, to sign any and all amendments (including pre effective amendments, post-effective amendments, exhibits thereto and other documents in connection therewith) to this registration statement and any subsequent registration statement we may hereafter file with the Securities and Exchange Commission pursuant to Rule 462(b) under the Securities Act of 1933 to register additional securities in connection with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individually, or his or her substitute or substitutes, may lawfully do or cause to be done by virtue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8603" w:type="dxa"/>
        <w:jc w:val="left"/>
        <w:tblInd w:w="0" w:type="dxa"/>
        <w:tblLayout w:type="fixed"/>
        <w:tblCellMar>
          <w:top w:w="28" w:type="dxa"/>
          <w:left w:w="28" w:type="dxa"/>
          <w:bottom w:w="28" w:type="dxa"/>
          <w:right w:w="28" w:type="dxa"/>
        </w:tblCellMar>
      </w:tblPr>
      <w:tblGrid>
        <w:gridCol w:w="916"/>
        <w:gridCol w:w="805"/>
        <w:gridCol w:w="814"/>
        <w:gridCol w:w="109"/>
        <w:gridCol w:w="109"/>
        <w:gridCol w:w="109"/>
        <w:gridCol w:w="1299"/>
        <w:gridCol w:w="1299"/>
        <w:gridCol w:w="1316"/>
        <w:gridCol w:w="109"/>
        <w:gridCol w:w="109"/>
        <w:gridCol w:w="109"/>
        <w:gridCol w:w="438"/>
        <w:gridCol w:w="438"/>
        <w:gridCol w:w="62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Kang-Huai (Johnny)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Kang-Huai (Johnny)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Garcia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VP of Finance</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Garcia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Chen Lung Tsai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Chen Lung Tsai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Hui Ying (Patty) Kuo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Hui Ying (Patty) Kuo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Julia Gouw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Julia Gouw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Michele Harari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Michele Harari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 Shields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S. Shields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Wen-Herng (Henry)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Wen-Herng (Henry)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cvexfilingfees.htm"/>
      <w:bookmarkStart w:id="1" w:name="kscvexfilingfees"/>
      <w:bookmarkStart w:id="2" w:name="cvexfilingfees.htm"/>
      <w:bookmarkStart w:id="3" w:name="kscvexfilingfees"/>
      <w:bookmarkEnd w:id="2"/>
      <w:bookmarkEnd w:id="3"/>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CapsoVision,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54" w:type="dxa"/>
        <w:jc w:val="left"/>
        <w:tblInd w:w="0" w:type="dxa"/>
        <w:tblLayout w:type="fixed"/>
        <w:tblCellMar>
          <w:top w:w="28" w:type="dxa"/>
          <w:left w:w="28" w:type="dxa"/>
          <w:bottom w:w="28" w:type="dxa"/>
          <w:right w:w="28" w:type="dxa"/>
        </w:tblCellMar>
      </w:tblPr>
      <w:tblGrid>
        <w:gridCol w:w="1126"/>
        <w:gridCol w:w="226"/>
        <w:gridCol w:w="12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$ 250,000,000.00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9"/>
        <w:gridCol w:w="8707"/>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1a. 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up to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 1b. The warrants covered by this registration statement may be warrants to purchase shares of common stock or shares of preferred stock issued by the registrant. The registrant may offer warrants independently of or together with shares of common stock, shares of preferred stock, or other securities offered by any prospectus supplement. 1c. Units will represent an interest in two or more securities registered under this registration statement including shares of common stock, shares of preferred stock or warrants, in any combination, which may or may not be separable from one another.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574" w:type="dxa"/>
        <w:jc w:val="left"/>
        <w:tblInd w:w="0" w:type="dxa"/>
        <w:tblLayout w:type="fixed"/>
        <w:tblCellMar>
          <w:top w:w="28" w:type="dxa"/>
          <w:left w:w="28" w:type="dxa"/>
          <w:bottom w:w="28" w:type="dxa"/>
          <w:right w:w="28" w:type="dxa"/>
        </w:tblCellMar>
      </w:tblPr>
      <w:tblGrid>
        <w:gridCol w:w="976"/>
        <w:gridCol w:w="860"/>
        <w:gridCol w:w="863"/>
        <w:gridCol w:w="434"/>
        <w:gridCol w:w="434"/>
        <w:gridCol w:w="436"/>
        <w:gridCol w:w="458"/>
        <w:gridCol w:w="458"/>
        <w:gridCol w:w="655"/>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5.1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 descr=""/>
                          <pic:cNvPicPr>
                            <a:picLocks noChangeAspect="1" noChangeArrowheads="1"/>
                          </pic:cNvPicPr>
                        </pic:nvPicPr>
                        <pic:blipFill>
                          <a:blip r:embed="rId46"/>
                          <a:stretch>
                            <a:fillRect/>
                          </a:stretch>
                        </pic:blipFill>
                        <pic:spPr bwMode="auto">
                          <a:xfrm>
                            <a:off x="0" y="0"/>
                            <a:ext cx="914400" cy="180975"/>
                          </a:xfrm>
                          <a:prstGeom prst="rect">
                            <a:avLst/>
                          </a:prstGeom>
                        </pic:spPr>
                      </pic:pic>
                    </a:graphicData>
                  </a:graphic>
                </wp:inline>
              </w:drawing>
            </w:r>
          </w:p>
        </w:tc>
      </w:tr>
      <w:tr>
        <w:trPr/>
        <w:tc>
          <w:tcPr>
            <w:tcW w:w="2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O’Melveny &amp; Myers LLP</w:t>
              <w:br/>
              <w:t>1301 Avenue of the Americas, Suite 1700</w:t>
              <w:br/>
              <w:t>New York, NY 10019</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 +1 212 326 2000</w:t>
              <w:br/>
              <w:t>F: +1 212 326 2061</w:t>
              <w:br/>
              <w:t>omm.com</w:t>
            </w:r>
          </w:p>
        </w:tc>
        <w:tc>
          <w:tcPr>
            <w:tcW w:w="1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File Number: </w:t>
              <w:br/>
              <w:t>0625190-00007</w:t>
            </w:r>
          </w:p>
        </w:tc>
      </w:tr>
    </w:tbl>
    <w:p>
      <w:pPr>
        <w:pStyle w:val="TextBody"/>
        <w:bidi w:val="0"/>
        <w:spacing w:before="0" w:after="640"/>
        <w:jc w:val="left"/>
        <w:rPr/>
      </w:pPr>
      <w:r>
        <w:rPr/>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August 13, 2026</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CapsoVision, Inc.</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18805 Cox Avenue, Suite 250</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Saratoga, CA 95070</w:t>
      </w:r>
    </w:p>
    <w:tbl>
      <w:tblPr>
        <w:tblW w:w="4034" w:type="dxa"/>
        <w:jc w:val="left"/>
        <w:tblInd w:w="0" w:type="dxa"/>
        <w:tblLayout w:type="fixed"/>
        <w:tblCellMar>
          <w:top w:w="28" w:type="dxa"/>
          <w:left w:w="28" w:type="dxa"/>
          <w:bottom w:w="28" w:type="dxa"/>
          <w:right w:w="28" w:type="dxa"/>
        </w:tblCellMar>
      </w:tblPr>
      <w:tblGrid>
        <w:gridCol w:w="168"/>
        <w:gridCol w:w="147"/>
        <w:gridCol w:w="150"/>
        <w:gridCol w:w="1044"/>
        <w:gridCol w:w="1044"/>
        <w:gridCol w:w="1481"/>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u w:val="single"/>
              </w:rPr>
            </w:pPr>
            <w:r>
              <w:rPr>
                <w:rFonts w:ascii="Times New Roman;serif" w:hAnsi="Times New Roman;serif"/>
                <w:b/>
                <w:i/>
                <w:color w:val="000000"/>
                <w:sz w:val="22"/>
                <w:u w:val="single"/>
              </w:rPr>
              <w:t>Registration Statement on Form S-3</w:t>
            </w:r>
          </w:p>
        </w:tc>
      </w:tr>
    </w:tbl>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20"/>
        <w:ind w:left="0" w:right="0" w:firstLine="720"/>
        <w:jc w:val="both"/>
        <w:rPr/>
      </w:pPr>
      <w:r>
        <w:rPr>
          <w:rFonts w:ascii="Times New Roman;serif" w:hAnsi="Times New Roman;serif"/>
          <w:b w:val="false"/>
          <w:color w:val="000000"/>
          <w:sz w:val="22"/>
        </w:rPr>
        <w:t>We have acted as special counsel to CapsoVision,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in connection with the preparation of the Registration Statement on Form S-3 (the “</w:t>
      </w:r>
      <w:r>
        <w:rPr>
          <w:rFonts w:ascii="Times New Roman;serif" w:hAnsi="Times New Roman;serif"/>
          <w:b/>
          <w:color w:val="000000"/>
          <w:sz w:val="22"/>
        </w:rPr>
        <w:t>Registration Statement</w:t>
      </w:r>
      <w:r>
        <w:rPr>
          <w:color w:val="000000"/>
        </w:rPr>
        <w:t>”</w:t>
      </w:r>
      <w:r>
        <w:rPr>
          <w:rFonts w:ascii="Times New Roman;serif" w:hAnsi="Times New Roman;serif"/>
          <w:b w:val="false"/>
          <w:color w:val="000000"/>
          <w:sz w:val="22"/>
        </w:rPr>
        <w:t>) filed with the Securities and Exchange Commission (the “</w:t>
      </w:r>
      <w:r>
        <w:rPr>
          <w:rFonts w:ascii="Times New Roman;serif" w:hAnsi="Times New Roman;serif"/>
          <w:b/>
          <w:color w:val="000000"/>
          <w:sz w:val="22"/>
        </w:rPr>
        <w:t>Commission</w:t>
      </w:r>
      <w:r>
        <w:rPr>
          <w:color w:val="000000"/>
        </w:rPr>
        <w:t>”</w:t>
      </w:r>
      <w:r>
        <w:rPr>
          <w:rFonts w:ascii="Times New Roman;serif" w:hAnsi="Times New Roman;serif"/>
          <w:b w:val="false"/>
          <w:color w:val="000000"/>
          <w:sz w:val="22"/>
        </w:rPr>
        <w:t>) on the date hereof under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The Registration Statement relates to the offer and sale from time to time by the Company, pursuant to Rule 415 of the General Rules and Regulations of the Commission promulgated under the Securities Act, of up to $250,000,000 in aggregate offering price of the following securities: (i) shares of the Company’s common stock, par value $0.001 per share (the “</w:t>
      </w:r>
      <w:r>
        <w:rPr>
          <w:rFonts w:ascii="Times New Roman;serif" w:hAnsi="Times New Roman;serif"/>
          <w:b/>
          <w:color w:val="000000"/>
          <w:sz w:val="22"/>
        </w:rPr>
        <w:t>Common Stock</w:t>
      </w:r>
      <w:r>
        <w:rPr>
          <w:color w:val="000000"/>
        </w:rPr>
        <w:t>”</w:t>
      </w:r>
      <w:r>
        <w:rPr>
          <w:rFonts w:ascii="Times New Roman;serif" w:hAnsi="Times New Roman;serif"/>
          <w:b w:val="false"/>
          <w:color w:val="000000"/>
          <w:sz w:val="22"/>
        </w:rPr>
        <w:t>); (ii) shares of the Company’s preferred stock, par value $0.001 per share (the “</w:t>
      </w:r>
      <w:r>
        <w:rPr>
          <w:rFonts w:ascii="Times New Roman;serif" w:hAnsi="Times New Roman;serif"/>
          <w:b/>
          <w:color w:val="000000"/>
          <w:sz w:val="22"/>
        </w:rPr>
        <w:t>Preferred Stock</w:t>
      </w:r>
      <w:r>
        <w:rPr>
          <w:color w:val="000000"/>
        </w:rPr>
        <w:t>”</w:t>
      </w:r>
      <w:r>
        <w:rPr>
          <w:rFonts w:ascii="Times New Roman;serif" w:hAnsi="Times New Roman;serif"/>
          <w:b w:val="false"/>
          <w:color w:val="000000"/>
          <w:sz w:val="22"/>
        </w:rPr>
        <w:t>), in one or more series; (iii) warrants to purchase Common Stock or Preferred Stock (individually or collectively, the “</w:t>
      </w:r>
      <w:r>
        <w:rPr>
          <w:rFonts w:ascii="Times New Roman;serif" w:hAnsi="Times New Roman;serif"/>
          <w:b/>
          <w:color w:val="000000"/>
          <w:sz w:val="22"/>
        </w:rPr>
        <w:t>Warrants</w:t>
      </w:r>
      <w:r>
        <w:rPr>
          <w:color w:val="000000"/>
        </w:rPr>
        <w:t>”</w:t>
      </w:r>
      <w:r>
        <w:rPr>
          <w:rFonts w:ascii="Times New Roman;serif" w:hAnsi="Times New Roman;serif"/>
          <w:b w:val="false"/>
          <w:color w:val="000000"/>
          <w:sz w:val="22"/>
        </w:rPr>
        <w:t>), which may be issued pursuant to a warrant agreement (the “</w:t>
      </w:r>
      <w:r>
        <w:rPr>
          <w:rFonts w:ascii="Times New Roman;serif" w:hAnsi="Times New Roman;serif"/>
          <w:b/>
          <w:color w:val="000000"/>
          <w:sz w:val="22"/>
        </w:rPr>
        <w:t>Warrant Agreement</w:t>
      </w:r>
      <w:r>
        <w:rPr>
          <w:color w:val="000000"/>
        </w:rPr>
        <w:t>”</w:t>
      </w:r>
      <w:r>
        <w:rPr>
          <w:rFonts w:ascii="Times New Roman;serif" w:hAnsi="Times New Roman;serif"/>
          <w:b w:val="false"/>
          <w:color w:val="000000"/>
          <w:sz w:val="22"/>
        </w:rPr>
        <w:t>) between the Company and a warrant agent to be appointed prior to the issuance of Warrants; (iv) rights to purchase Common Stock or Preferred Stock (individually or collectively, the “</w:t>
      </w:r>
      <w:r>
        <w:rPr>
          <w:rFonts w:ascii="Times New Roman;serif" w:hAnsi="Times New Roman;serif"/>
          <w:b/>
          <w:color w:val="000000"/>
          <w:sz w:val="22"/>
        </w:rPr>
        <w:t>Rights</w:t>
      </w:r>
      <w:r>
        <w:rPr>
          <w:color w:val="000000"/>
        </w:rPr>
        <w:t>”</w:t>
      </w:r>
      <w:r>
        <w:rPr>
          <w:rFonts w:ascii="Times New Roman;serif" w:hAnsi="Times New Roman;serif"/>
          <w:b w:val="false"/>
          <w:color w:val="000000"/>
          <w:sz w:val="22"/>
        </w:rPr>
        <w:t>) to be issued pursuant to a rights agreement (the “</w:t>
      </w:r>
      <w:r>
        <w:rPr>
          <w:rFonts w:ascii="Times New Roman;serif" w:hAnsi="Times New Roman;serif"/>
          <w:b/>
          <w:color w:val="000000"/>
          <w:sz w:val="22"/>
        </w:rPr>
        <w:t>Rights Agreement</w:t>
      </w:r>
      <w:r>
        <w:rPr>
          <w:color w:val="000000"/>
        </w:rPr>
        <w:t>”</w:t>
      </w:r>
      <w:r>
        <w:rPr>
          <w:rFonts w:ascii="Times New Roman;serif" w:hAnsi="Times New Roman;serif"/>
          <w:b w:val="false"/>
          <w:color w:val="000000"/>
          <w:sz w:val="22"/>
        </w:rPr>
        <w:t>) between the Company and a rights agent to be appointed prior to the issuance of Rights; and (v) units consisting of any combination of Common Stock, Preferred Stock, Warrants and/or Rights (the “</w:t>
      </w:r>
      <w:r>
        <w:rPr>
          <w:rFonts w:ascii="Times New Roman;serif" w:hAnsi="Times New Roman;serif"/>
          <w:b/>
          <w:color w:val="000000"/>
          <w:sz w:val="22"/>
        </w:rPr>
        <w:t>Units</w:t>
      </w:r>
      <w:r>
        <w:rPr>
          <w:color w:val="000000"/>
        </w:rPr>
        <w:t>”</w:t>
      </w:r>
      <w:r>
        <w:rPr>
          <w:rFonts w:ascii="Times New Roman;serif" w:hAnsi="Times New Roman;serif"/>
          <w:b w:val="false"/>
          <w:color w:val="000000"/>
          <w:sz w:val="22"/>
        </w:rPr>
        <w:t>) to be issued pursuant to a unit agreement (the “</w:t>
      </w:r>
      <w:r>
        <w:rPr>
          <w:rFonts w:ascii="Times New Roman;serif" w:hAnsi="Times New Roman;serif"/>
          <w:b/>
          <w:color w:val="000000"/>
          <w:sz w:val="22"/>
        </w:rPr>
        <w:t>Unit Agreement</w:t>
      </w:r>
      <w:r>
        <w:rPr>
          <w:color w:val="000000"/>
        </w:rPr>
        <w:t>”</w:t>
      </w:r>
      <w:r>
        <w:rPr>
          <w:rFonts w:ascii="Times New Roman;serif" w:hAnsi="Times New Roman;serif"/>
          <w:b w:val="false"/>
          <w:color w:val="000000"/>
          <w:sz w:val="22"/>
        </w:rPr>
        <w:t>) between the Company and a unit agent to be appointed prior to the issuance of Units. The Common Stock, Preferred Stock, Warrants, Rights and Units are collectively referred to herein as the “</w:t>
      </w:r>
      <w:r>
        <w:rPr>
          <w:rFonts w:ascii="Times New Roman;serif" w:hAnsi="Times New Roman;serif"/>
          <w:b/>
          <w:color w:val="000000"/>
          <w:sz w:val="22"/>
        </w:rPr>
        <w:t>Securities</w:t>
      </w:r>
      <w:r>
        <w:rPr>
          <w:rFonts w:ascii="Times New Roman;serif" w:hAnsi="Times New Roman;serif"/>
          <w:b w:val="false"/>
          <w:color w:val="000000"/>
          <w:sz w:val="22"/>
        </w:rPr>
        <w: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our capacity as such counsel, we have examined originals or copies of those corporate and other records and documents we considered appropriate, including, among other things, the following:</w:t>
      </w:r>
    </w:p>
    <w:p>
      <w:pPr>
        <w:pStyle w:val="TextBody"/>
        <w:bidi w:val="0"/>
        <w:spacing w:lineRule="auto" w:line="288" w:before="0" w:after="22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2"/>
        </w:rPr>
        <w:t>the Registration Statement;</w:t>
      </w:r>
    </w:p>
    <w:p>
      <w:pPr>
        <w:pStyle w:val="TextBody"/>
        <w:bidi w:val="0"/>
        <w:spacing w:lineRule="auto" w:line="288" w:before="0" w:after="220"/>
        <w:ind w:left="0" w:right="0" w:hanging="360"/>
        <w:jc w:val="both"/>
        <w:rPr/>
      </w:pPr>
      <w:r>
        <w:rPr>
          <w:rFonts w:ascii="Times New Roman;serif" w:hAnsi="Times New Roman;serif"/>
          <w:b w:val="false"/>
          <w:color w:val="000000"/>
          <w:sz w:val="22"/>
        </w:rPr>
        <w:t>(ii)the Amended and Restated Certificate of Incorporation of the Company, including all amendments thereto, as presently in effect (the “</w:t>
      </w:r>
      <w:r>
        <w:rPr>
          <w:rFonts w:ascii="Times New Roman;serif" w:hAnsi="Times New Roman;serif"/>
          <w:b/>
          <w:color w:val="000000"/>
          <w:sz w:val="22"/>
        </w:rPr>
        <w:t>Certificate of Incorporation</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hanging="360"/>
        <w:jc w:val="both"/>
        <w:rPr/>
      </w:pPr>
      <w:r>
        <w:rPr>
          <w:rFonts w:ascii="Times New Roman;serif" w:hAnsi="Times New Roman;serif"/>
          <w:b w:val="false"/>
          <w:color w:val="000000"/>
          <w:sz w:val="22"/>
        </w:rPr>
        <w:t>(iii)the Amended and Restated Bylaws of the Company, including all amendments thereto, as presently in effect (the “</w:t>
      </w:r>
      <w:r>
        <w:rPr>
          <w:rFonts w:ascii="Times New Roman;serif" w:hAnsi="Times New Roman;serif"/>
          <w:b/>
          <w:color w:val="000000"/>
          <w:sz w:val="22"/>
        </w:rPr>
        <w:t>Bylaws</w:t>
      </w:r>
      <w:r>
        <w:rPr>
          <w:color w:val="000000"/>
        </w:rPr>
        <w:t xml:space="preserve">” </w:t>
      </w:r>
      <w:r>
        <w:rPr>
          <w:rFonts w:ascii="Times New Roman;serif" w:hAnsi="Times New Roman;serif"/>
          <w:b w:val="false"/>
          <w:color w:val="000000"/>
          <w:sz w:val="22"/>
        </w:rPr>
        <w:t>and, together with the Certificate of Incorporation, the “</w:t>
      </w:r>
      <w:r>
        <w:rPr>
          <w:rFonts w:ascii="Times New Roman;serif" w:hAnsi="Times New Roman;serif"/>
          <w:b/>
          <w:color w:val="000000"/>
          <w:sz w:val="22"/>
        </w:rPr>
        <w:t>Organizational Documents</w:t>
      </w:r>
      <w:r>
        <w:rPr>
          <w:color w:val="000000"/>
        </w:rPr>
        <w:t>”</w:t>
      </w:r>
      <w:r>
        <w:rPr>
          <w:rFonts w:ascii="Times New Roman;serif" w:hAnsi="Times New Roman;serif"/>
          <w:b w:val="false"/>
          <w:color w:val="000000"/>
          <w:sz w:val="22"/>
        </w:rPr>
        <w:t>); and</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(iv)resolutions of the Board of Directors of the Company relating to the registration of the Securities and related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42340"/>
                <wp:effectExtent l="0" t="0" r="0" b="0"/>
                <wp:wrapNone/>
                <wp:docPr id="57" name="Frame53"/>
                <a:graphic xmlns:a="http://schemas.openxmlformats.org/drawingml/2006/main">
                  <a:graphicData uri="http://schemas.microsoft.com/office/word/2010/wordprocessingShape">
                    <wps:wsp>
                      <wps:cNvSpPr txBox="1"/>
                      <wps:spPr>
                        <a:xfrm>
                          <a:off x="0" y="0"/>
                          <a:ext cx="6480175" cy="942340"/>
                        </a:xfrm>
                        <a:prstGeom prst="rect"/>
                        <a:solidFill>
                          <a:srgbClr val="FFFFFF"/>
                        </a:solidFill>
                      </wps:spPr>
                      <wps:txbx>
                        <w:txbxContent>
                          <w:tbl>
                            <w:tblPr>
                              <w:tblW w:w="8399" w:type="dxa"/>
                              <w:jc w:val="center"/>
                              <w:tblInd w:w="0" w:type="dxa"/>
                              <w:tblLayout w:type="fixed"/>
                              <w:tblCellMar>
                                <w:top w:w="28" w:type="dxa"/>
                                <w:left w:w="28" w:type="dxa"/>
                                <w:bottom w:w="28" w:type="dxa"/>
                                <w:right w:w="28" w:type="dxa"/>
                              </w:tblCellMar>
                            </w:tblPr>
                            <w:tblGrid>
                              <w:gridCol w:w="2690"/>
                              <w:gridCol w:w="2361"/>
                              <w:gridCol w:w="3348"/>
                            </w:tblGrid>
                            <w:tr>
                              <w:trPr/>
                              <w:tc>
                                <w:tcPr>
                                  <w:tcW w:w="2690" w:type="dxa"/>
                                  <w:tcBorders/>
                                  <w:vAlign w:val="center"/>
                                </w:tcPr>
                                <w:p>
                                  <w:pPr>
                                    <w:pStyle w:val="TableContents"/>
                                    <w:bidi w:val="0"/>
                                    <w:spacing w:before="0" w:after="283"/>
                                    <w:jc w:val="left"/>
                                    <w:rPr>
                                      <w:sz w:val="4"/>
                                      <w:szCs w:val="4"/>
                                    </w:rPr>
                                  </w:pPr>
                                  <w:r>
                                    <w:rPr>
                                      <w:sz w:val="4"/>
                                      <w:szCs w:val="4"/>
                                    </w:rPr>
                                  </w:r>
                                  <w:r>
                                    <w:br w:type="page"/>
                                  </w:r>
                                </w:p>
                              </w:tc>
                              <w:tc>
                                <w:tcPr>
                                  <w:tcW w:w="2361"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Austin • Century City • Dallas • Houston • Los Angeles • Newport Beach • New York • San Francisco • Silicon Valley • Washington, DC</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 xml:space="preserve">Beijing • Brussels • Hong Kong • London • Seoul • Shanghai • Singapore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2pt;mso-wrap-distance-left:0pt;mso-wrap-distance-right:0pt;mso-wrap-distance-top:0pt;mso-wrap-distance-bottom:0pt;margin-top:0pt;mso-position-vertical:top;mso-position-vertical-relative:text;margin-left:0pt;mso-position-horizontal:left;mso-position-horizontal-relative:text">
                <v:textbox>
                  <w:txbxContent>
                    <w:tbl>
                      <w:tblPr>
                        <w:tblW w:w="8399" w:type="dxa"/>
                        <w:jc w:val="center"/>
                        <w:tblInd w:w="0" w:type="dxa"/>
                        <w:tblLayout w:type="fixed"/>
                        <w:tblCellMar>
                          <w:top w:w="28" w:type="dxa"/>
                          <w:left w:w="28" w:type="dxa"/>
                          <w:bottom w:w="28" w:type="dxa"/>
                          <w:right w:w="28" w:type="dxa"/>
                        </w:tblCellMar>
                      </w:tblPr>
                      <w:tblGrid>
                        <w:gridCol w:w="2690"/>
                        <w:gridCol w:w="2361"/>
                        <w:gridCol w:w="3348"/>
                      </w:tblGrid>
                      <w:tr>
                        <w:trPr/>
                        <w:tc>
                          <w:tcPr>
                            <w:tcW w:w="269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Austin • Century City • Dallas • Houston • Los Angeles • Newport Beach • New York • San Francisco • Silicon Valley • Washington, DC</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 xml:space="preserve">Beijing • Brussels • Hong Kong • London • Seoul • Shanghai • Singapore </w:t>
                            </w:r>
                          </w:p>
                        </w:tc>
                      </w:tr>
                    </w:tbl>
                    <w:p>
                      <w:pPr>
                        <w:pStyle w:val="TextBody"/>
                        <w:bidi w:val="0"/>
                        <w:spacing w:before="0" w:after="283"/>
                        <w:jc w:val="left"/>
                        <w:rPr/>
                      </w:pPr>
                      <w:r>
                        <w:rPr/>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124"/>
        <w:gridCol w:w="109"/>
        <w:gridCol w:w="109"/>
        <w:gridCol w:w="460"/>
        <w:gridCol w:w="460"/>
        <w:gridCol w:w="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 descr=""/>
                          <pic:cNvPicPr>
                            <a:picLocks noChangeAspect="1" noChangeArrowheads="1"/>
                          </pic:cNvPicPr>
                        </pic:nvPicPr>
                        <pic:blipFill>
                          <a:blip r:embed="rId47"/>
                          <a:stretch>
                            <a:fillRect/>
                          </a:stretch>
                        </pic:blipFill>
                        <pic:spPr bwMode="auto">
                          <a:xfrm>
                            <a:off x="0" y="0"/>
                            <a:ext cx="914400" cy="180975"/>
                          </a:xfrm>
                          <a:prstGeom prst="rect">
                            <a:avLst/>
                          </a:prstGeom>
                        </pic:spPr>
                      </pic:pic>
                    </a:graphicData>
                  </a:graphic>
                </wp:inline>
              </w:drawing>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assumed the genuineness of all signatures, the authenticity of all documents submitted to us as originals and the conformity with originals of all documents submitted to us as copies. We have also assumed that New York law will be chosen to govern the Warrant Agreement, the Rights Agreement and the Unit Agreement and that such choice is a valid and legal provision. To the extent the obligations of the Company depend on the enforceability of any agreement against any other parties thereto, we have assumed that such agreement is enforceable against such other parties.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also assumed that, at or prior to the time of delivery of any Security: (i) the Registration Statement has been declared effective by the Commission and such effectiveness has not been terminated or rescinded; (ii) a prospectus supplement describing each class or series of Securities offered pursuant to the Registration Statement, to the extent required by applicable law and relevant rules and regulations of the Commission, will be timely filed with the Commission; (iii) the Company is and will continue to be validly existing and in good standing under the laws of Delaware, with corporate power and authority to enter into the Warrant Agreement, Rights Agreement or Unit Agreement to which it is or may be a party and to perform its obligations thereunder; (iv) the definitive terms of the issuance and sale of each class or series of Securities will have been duly established in accordance with the applicable authorizing resolutions of the Board of Directors of the Company (or an authorized committee thereof) and in conformity with the Organizational Documents and applicable law (including (A) the requisite number of shares of Common Stock or Preferred Stock, including Common Stock or Preferred Stock which may be issued upon exercise or conversion of any such Securities exercisable or convertible for Common Stock or Preferred Stock, will have been reserved for issuance, in each case, within the limits of the then remaining authorized but unissued and unreserved amount of such Common Stock or Preferred Stock, as provided in the Certificate of Incorporation, and (B) the execution (in the case of certificated Securities), delivery and performance of the Securities and any related documentation referred to in paragraphs 1 through 5 below shall have been duly completed and shall remain in full force and effect); (v) there has not occurred any change in law or further action by the Board of Directors of the Company (or an authorized committee thereof) affecting the validity or enforceability of such Security; and (vi) all Securities will be issued and sold in the manner contemplated by the Registration Statement and any applicable prospectus supplement. We have also assumed that none of the terms of any Security to be established after the date hereof, nor the issuance and delivery of such Security, nor the compliance by the Company with the terms of such Security will violate any applicable law or public policy or result in a violation of any provision of any instrument or agreement then binding upon the Company or any restriction imposed by any court or governmental body having jurisdiction over the Company.</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the basis of such examination, our reliance upon the assumptions in this letter and our consideration of those questions of law we considered relevant, and subject to the limitations and qualifications in this letter, we are of the opinion that: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    When an issuance of Common Stock has been duly authorized by all necessary corporate action of the Company, and upon payment for and delivery of the Common Stock in an amount not less than the par value thereof and in the manner contemplated by the Registration Statement and/or the prospectus and applicable prospectus supplement(s) and by such corporate action, such shares of Common Stock will be validly issued, fully paid and non-assessable.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    When a series of Preferred Stock has been duly established in accordance with the terms of the Company’s Organizational Documents, as may be duly amended, modified or replaced, and authorized by all necessary corporate action of the Company, and upon payment for and delivery of the Preferred Stock in an amount not less than the par value thereof and in the manner contemplated by the Registration Statement and/or the prospectus and applicable prospectus supplement(s) and by such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124"/>
        <w:gridCol w:w="109"/>
        <w:gridCol w:w="109"/>
        <w:gridCol w:w="460"/>
        <w:gridCol w:w="460"/>
        <w:gridCol w:w="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6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 descr=""/>
                          <pic:cNvPicPr>
                            <a:picLocks noChangeAspect="1" noChangeArrowheads="1"/>
                          </pic:cNvPicPr>
                        </pic:nvPicPr>
                        <pic:blipFill>
                          <a:blip r:embed="rId48"/>
                          <a:stretch>
                            <a:fillRect/>
                          </a:stretch>
                        </pic:blipFill>
                        <pic:spPr bwMode="auto">
                          <a:xfrm>
                            <a:off x="0" y="0"/>
                            <a:ext cx="914400" cy="180975"/>
                          </a:xfrm>
                          <a:prstGeom prst="rect">
                            <a:avLst/>
                          </a:prstGeom>
                        </pic:spPr>
                      </pic:pic>
                    </a:graphicData>
                  </a:graphic>
                </wp:inline>
              </w:drawing>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corporate action, such shares of such series of Preferred Stock will be validly issued, fully paid and non-assessable.</w:t>
      </w:r>
    </w:p>
    <w:p>
      <w:pPr>
        <w:pStyle w:val="TextBody"/>
        <w:bidi w:val="0"/>
        <w:spacing w:lineRule="auto" w:line="288" w:before="0" w:after="220"/>
        <w:ind w:left="0" w:right="0" w:firstLine="720"/>
        <w:jc w:val="both"/>
        <w:rPr/>
      </w:pPr>
      <w:r>
        <w:rPr>
          <w:rFonts w:ascii="Times New Roman;serif" w:hAnsi="Times New Roman;serif"/>
          <w:b w:val="false"/>
          <w:color w:val="000000"/>
          <w:sz w:val="22"/>
        </w:rPr>
        <w:t>3.    With respect to any Warrants offered under the Registration Statement (the “</w:t>
      </w:r>
      <w:r>
        <w:rPr>
          <w:rFonts w:ascii="Times New Roman;serif" w:hAnsi="Times New Roman;serif"/>
          <w:b/>
          <w:color w:val="000000"/>
          <w:sz w:val="22"/>
        </w:rPr>
        <w:t>Offered Warrants</w:t>
      </w:r>
      <w:r>
        <w:rPr>
          <w:color w:val="000000"/>
        </w:rPr>
        <w:t>”</w:t>
      </w:r>
      <w:r>
        <w:rPr>
          <w:rFonts w:ascii="Times New Roman;serif" w:hAnsi="Times New Roman;serif"/>
          <w:b w:val="false"/>
          <w:color w:val="000000"/>
          <w:sz w:val="22"/>
        </w:rPr>
        <w:t>), when (i) the Common Stock or Preferred Stock relating to such Offered Warrants have been duly authorized for issuance, (ii) any applicable Warrant Agreement has been duly authorized, executed and delivered by each party thereto, and (iii) the Offered Warrants have been duly authorized, executed, issued and delivered in accordance with the terms of any applicable Warrant Agreement and the applicable underwriting or other agreement against payment therefor, such Offered Warrants will be legally valid and binding obligations of the Company, enforceable against the Company in accordance with their respective terms, except as may be limited by bankruptcy, insolvency, reorganization, moratorium or similar laws relating to or affecting creditors’ rights generally (including, without limitation, fraudulent conveyance laws), and by general principles of equity, including, without limitation, concepts of materiality, reasonableness, good faith and fair dealing and the possible unavailability of specific performance or injunctive relief, regardless of whether considered in a proceeding in equity or at law (collectively, the “</w:t>
      </w:r>
      <w:r>
        <w:rPr>
          <w:rFonts w:ascii="Times New Roman;serif" w:hAnsi="Times New Roman;serif"/>
          <w:b/>
          <w:color w:val="000000"/>
          <w:sz w:val="22"/>
        </w:rPr>
        <w:t>Enforceability Exceptions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we express no opinion as to the validity, legally binding effect or enforceability of the provisions relating to disclaimers, waivers, releases, indemnities, hold harmless provisions, exculpations, provisions for contribution and liquidated damages, and other provisions, however expressed, altering or eliminating the rights, liabilities or remedies a party otherwise would have, nor any provision having the effect of modifying the statute of limitations (collectively, the “</w:t>
      </w:r>
      <w:r>
        <w:rPr>
          <w:rFonts w:ascii="Times New Roman;serif" w:hAnsi="Times New Roman;serif"/>
          <w:b/>
          <w:color w:val="000000"/>
          <w:sz w:val="22"/>
        </w:rPr>
        <w:t>Risk-Allocation Provisions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4.    With respect to any Rights offered under the Registration Statement (the “</w:t>
      </w:r>
      <w:r>
        <w:rPr>
          <w:rFonts w:ascii="Times New Roman;serif" w:hAnsi="Times New Roman;serif"/>
          <w:b/>
          <w:color w:val="000000"/>
          <w:sz w:val="22"/>
        </w:rPr>
        <w:t>Offered Rights</w:t>
      </w:r>
      <w:r>
        <w:rPr>
          <w:color w:val="000000"/>
        </w:rPr>
        <w:t>”</w:t>
      </w:r>
      <w:r>
        <w:rPr>
          <w:rFonts w:ascii="Times New Roman;serif" w:hAnsi="Times New Roman;serif"/>
          <w:b w:val="false"/>
          <w:color w:val="000000"/>
          <w:sz w:val="22"/>
        </w:rPr>
        <w:t xml:space="preserve">), when (i) the Common Stock or Preferred Stock relating to such Offered Rights have been duly authorized for issuance, (ii) the applicable Rights Agreement has been duly authorized, executed and delivered by each party thereto, and (iii) the Offered Rights have been duly authorized, executed, issued and delivered in accordance with the terms of the applicable Rights Agreement and the applicable underwriting or other agreement against payment therefor, such Offered Rights will be legally valid and binding obligations of the Company, enforceable against the Company in accordance with their respective terms, except as may be limited by the Enforceability Exceptions;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we express no opinion as to the Risk-Allocation Provisions.</w:t>
      </w:r>
    </w:p>
    <w:p>
      <w:pPr>
        <w:pStyle w:val="TextBody"/>
        <w:bidi w:val="0"/>
        <w:spacing w:lineRule="auto" w:line="288" w:before="0" w:after="220"/>
        <w:ind w:left="0" w:right="0" w:firstLine="720"/>
        <w:jc w:val="both"/>
        <w:rPr/>
      </w:pPr>
      <w:r>
        <w:rPr>
          <w:rFonts w:ascii="Times New Roman;serif" w:hAnsi="Times New Roman;serif"/>
          <w:b w:val="false"/>
          <w:color w:val="000000"/>
          <w:sz w:val="22"/>
        </w:rPr>
        <w:t>5.    With respect to any Units offered under the Registration Statement (the “</w:t>
      </w:r>
      <w:r>
        <w:rPr>
          <w:rFonts w:ascii="Times New Roman;serif" w:hAnsi="Times New Roman;serif"/>
          <w:b/>
          <w:color w:val="000000"/>
          <w:sz w:val="22"/>
        </w:rPr>
        <w:t>Offered Units</w:t>
      </w:r>
      <w:r>
        <w:rPr>
          <w:color w:val="000000"/>
        </w:rPr>
        <w:t>”</w:t>
      </w:r>
      <w:r>
        <w:rPr>
          <w:rFonts w:ascii="Times New Roman;serif" w:hAnsi="Times New Roman;serif"/>
          <w:b w:val="false"/>
          <w:color w:val="000000"/>
          <w:sz w:val="22"/>
        </w:rPr>
        <w:t xml:space="preserve">), when (i) the Common Stock, Preferred Stock, Warrants and Rights, as applicable, relating to such Offered Units have been duly authorized for issuance, (ii) the applicable Unit Agreement has been duly authorized, executed and delivered by each party thereto, and (iii) the Offered Units have been duly authorized, executed, issued and delivered in accordance with the terms of the applicable Unit Agreement and the applicable underwriting or other agreement against payment therefor, such Offered Units will be legally valid and binding obligations of the Company, enforceable against the Company in accordance with their respective terms, except as may be limited by the Enforceability Exceptions;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we express no opinion as to the Risk-Allocation Provisions.</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law covered by this letter is limited to the present law of the State of New York and the current General Corporation Law of the State of Delaware. The law covered in paragraphs 3, 4 and 5 of this letter as to the enforceability of the Offered Warrants, the Offered Rights and the Offered Units is limited to the present law of the State of New York. We express no opinion as to the laws of any other jurisdiction and no opinion regarding the statutes, administrative decisions, rules, regulations or requirements of any county, municipality, subdivision or local authority of any jurisdiction.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124"/>
        <w:gridCol w:w="109"/>
        <w:gridCol w:w="109"/>
        <w:gridCol w:w="460"/>
        <w:gridCol w:w="460"/>
        <w:gridCol w:w="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6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 descr=""/>
                          <pic:cNvPicPr>
                            <a:picLocks noChangeAspect="1" noChangeArrowheads="1"/>
                          </pic:cNvPicPr>
                        </pic:nvPicPr>
                        <pic:blipFill>
                          <a:blip r:embed="rId49"/>
                          <a:stretch>
                            <a:fillRect/>
                          </a:stretch>
                        </pic:blipFill>
                        <pic:spPr bwMode="auto">
                          <a:xfrm>
                            <a:off x="0" y="0"/>
                            <a:ext cx="914400" cy="180975"/>
                          </a:xfrm>
                          <a:prstGeom prst="rect">
                            <a:avLst/>
                          </a:prstGeom>
                        </pic:spPr>
                      </pic:pic>
                    </a:graphicData>
                  </a:graphic>
                </wp:inline>
              </w:drawing>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letter is being furnished in accordance with the requirements of Item 601(b)(5) of Regulation S-K promulgated under the Securities Act, and no opinion is expressed herein as to any matter pertaining to the contents of the Registration Statement, the prospectus included in the Registration Statement or any prospectus supplement, other than as expressly stated herein with respect to the Securities. This letter is expressly limited to the matters set forth above, and we render no opinion, whether by implication or otherwise, as to any other matters. This letter speaks only as of the date hereof and we assume no obligation to update or supplement this letter to reflect any facts or circumstances that arise after the date hereof and come to our attention or any future changes in laws.</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hereby consent to the use of this letter as an exhibit to the Registration Statement and to the reference to this firm under the heading “Legal Matters” in the prospectus constituting part of the Registration Statement. In giving such consent, we do not hereby admit that we are within the category of persons whose consent is required under Section 7 of the Securities Act or the rules or regulations of the Commission thereunder.</w:t>
      </w:r>
    </w:p>
    <w:tbl>
      <w:tblPr>
        <w:tblW w:w="3488" w:type="dxa"/>
        <w:jc w:val="left"/>
        <w:tblInd w:w="0" w:type="dxa"/>
        <w:tblLayout w:type="fixed"/>
        <w:tblCellMar>
          <w:top w:w="28" w:type="dxa"/>
          <w:left w:w="28" w:type="dxa"/>
          <w:bottom w:w="28" w:type="dxa"/>
          <w:right w:w="28" w:type="dxa"/>
        </w:tblCellMar>
      </w:tblPr>
      <w:tblGrid>
        <w:gridCol w:w="124"/>
        <w:gridCol w:w="109"/>
        <w:gridCol w:w="109"/>
        <w:gridCol w:w="924"/>
        <w:gridCol w:w="924"/>
        <w:gridCol w:w="9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Respectfully submitted,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O’Melveny &amp; Myers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574" w:type="dxa"/>
        <w:jc w:val="left"/>
        <w:tblInd w:w="0" w:type="dxa"/>
        <w:tblLayout w:type="fixed"/>
        <w:tblCellMar>
          <w:top w:w="28" w:type="dxa"/>
          <w:left w:w="28" w:type="dxa"/>
          <w:bottom w:w="28" w:type="dxa"/>
          <w:right w:w="28" w:type="dxa"/>
        </w:tblCellMar>
      </w:tblPr>
      <w:tblGrid>
        <w:gridCol w:w="976"/>
        <w:gridCol w:w="860"/>
        <w:gridCol w:w="863"/>
        <w:gridCol w:w="434"/>
        <w:gridCol w:w="434"/>
        <w:gridCol w:w="436"/>
        <w:gridCol w:w="458"/>
        <w:gridCol w:w="458"/>
        <w:gridCol w:w="655"/>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5.2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8" descr=""/>
                          <pic:cNvPicPr>
                            <a:picLocks noChangeAspect="1" noChangeArrowheads="1"/>
                          </pic:cNvPicPr>
                        </pic:nvPicPr>
                        <pic:blipFill>
                          <a:blip r:embed="rId50"/>
                          <a:stretch>
                            <a:fillRect/>
                          </a:stretch>
                        </pic:blipFill>
                        <pic:spPr bwMode="auto">
                          <a:xfrm>
                            <a:off x="0" y="0"/>
                            <a:ext cx="914400" cy="180975"/>
                          </a:xfrm>
                          <a:prstGeom prst="rect">
                            <a:avLst/>
                          </a:prstGeom>
                        </pic:spPr>
                      </pic:pic>
                    </a:graphicData>
                  </a:graphic>
                </wp:inline>
              </w:drawing>
            </w:r>
          </w:p>
        </w:tc>
      </w:tr>
      <w:tr>
        <w:trPr/>
        <w:tc>
          <w:tcPr>
            <w:tcW w:w="2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O’Melveny &amp; Myers LLP</w:t>
              <w:br/>
              <w:t>1301 Avenue of the Americas, Suite 1700</w:t>
              <w:br/>
              <w:t>New York, NY 10019</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 +1 212 326 2000</w:t>
              <w:br/>
              <w:t>F: +1 212 326 2061</w:t>
              <w:br/>
              <w:t>omm.com</w:t>
            </w:r>
          </w:p>
        </w:tc>
        <w:tc>
          <w:tcPr>
            <w:tcW w:w="1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File Number: </w:t>
              <w:br/>
              <w:t>0625190-00007</w:t>
            </w:r>
          </w:p>
        </w:tc>
      </w:tr>
    </w:tbl>
    <w:p>
      <w:pPr>
        <w:pStyle w:val="TextBody"/>
        <w:bidi w:val="0"/>
        <w:spacing w:before="0" w:after="640"/>
        <w:jc w:val="left"/>
        <w:rPr/>
      </w:pPr>
      <w:r>
        <w:rPr/>
      </w:r>
    </w:p>
    <w:p>
      <w:pPr>
        <w:pStyle w:val="TextBody"/>
        <w:bidi w:val="0"/>
        <w:spacing w:lineRule="auto" w:line="304" w:before="0" w:after="240"/>
        <w:jc w:val="left"/>
        <w:rPr>
          <w:rFonts w:ascii="Times New Roman;serif" w:hAnsi="Times New Roman;serif"/>
          <w:b w:val="false"/>
          <w:color w:val="000000"/>
          <w:sz w:val="22"/>
        </w:rPr>
      </w:pPr>
      <w:r>
        <w:rPr>
          <w:rFonts w:ascii="Times New Roman;serif" w:hAnsi="Times New Roman;serif"/>
          <w:b w:val="false"/>
          <w:color w:val="000000"/>
          <w:sz w:val="22"/>
        </w:rPr>
        <w:t>August 13, 2026</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CapsoVision, Inc.</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18805 Cox Avenue, Suite 250</w:t>
      </w:r>
    </w:p>
    <w:p>
      <w:pPr>
        <w:pStyle w:val="TextBody"/>
        <w:bidi w:val="0"/>
        <w:spacing w:lineRule="auto" w:line="288" w:before="0" w:after="2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Saratoga, CA 95070</w:t>
      </w:r>
    </w:p>
    <w:tbl>
      <w:tblPr>
        <w:tblW w:w="8774" w:type="dxa"/>
        <w:jc w:val="left"/>
        <w:tblInd w:w="0" w:type="dxa"/>
        <w:tblLayout w:type="fixed"/>
        <w:tblCellMar>
          <w:top w:w="28" w:type="dxa"/>
          <w:left w:w="28" w:type="dxa"/>
          <w:bottom w:w="28" w:type="dxa"/>
          <w:right w:w="28" w:type="dxa"/>
        </w:tblCellMar>
      </w:tblPr>
      <w:tblGrid>
        <w:gridCol w:w="168"/>
        <w:gridCol w:w="147"/>
        <w:gridCol w:w="150"/>
        <w:gridCol w:w="2432"/>
        <w:gridCol w:w="2432"/>
        <w:gridCol w:w="3445"/>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u w:val="single"/>
              </w:rPr>
            </w:pPr>
            <w:r>
              <w:rPr>
                <w:rFonts w:ascii="Times New Roman;serif" w:hAnsi="Times New Roman;serif"/>
                <w:b/>
                <w:i/>
                <w:color w:val="000000"/>
                <w:sz w:val="22"/>
                <w:u w:val="single"/>
              </w:rPr>
              <w:t>At-the-Market Offering of up to $100,000,000 of Common Stock of CapsoVision, Inc.</w:t>
            </w:r>
          </w:p>
        </w:tc>
      </w:tr>
    </w:tbl>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20"/>
        <w:ind w:left="0" w:right="0" w:firstLine="720"/>
        <w:jc w:val="both"/>
        <w:rPr/>
      </w:pPr>
      <w:r>
        <w:rPr>
          <w:rFonts w:ascii="Times New Roman;serif" w:hAnsi="Times New Roman;serif"/>
          <w:b w:val="false"/>
          <w:color w:val="000000"/>
          <w:sz w:val="22"/>
        </w:rPr>
        <w:t>We have acted as special counsel to CapsoVision,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in connection with the preparation of the Registration Statement on Form S-3 (the “</w:t>
      </w:r>
      <w:r>
        <w:rPr>
          <w:rFonts w:ascii="Times New Roman;serif" w:hAnsi="Times New Roman;serif"/>
          <w:b/>
          <w:color w:val="000000"/>
          <w:sz w:val="22"/>
        </w:rPr>
        <w:t>Registration Statement</w:t>
      </w:r>
      <w:r>
        <w:rPr>
          <w:color w:val="000000"/>
        </w:rPr>
        <w:t>”</w:t>
      </w:r>
      <w:r>
        <w:rPr>
          <w:rFonts w:ascii="Times New Roman;serif" w:hAnsi="Times New Roman;serif"/>
          <w:b w:val="false"/>
          <w:color w:val="000000"/>
          <w:sz w:val="22"/>
        </w:rPr>
        <w:t>) filed with the Securities and Exchange Commission (the “</w:t>
      </w:r>
      <w:r>
        <w:rPr>
          <w:rFonts w:ascii="Times New Roman;serif" w:hAnsi="Times New Roman;serif"/>
          <w:b/>
          <w:color w:val="000000"/>
          <w:sz w:val="22"/>
        </w:rPr>
        <w:t>Commission</w:t>
      </w:r>
      <w:r>
        <w:rPr>
          <w:color w:val="000000"/>
        </w:rPr>
        <w:t>”</w:t>
      </w:r>
      <w:r>
        <w:rPr>
          <w:rFonts w:ascii="Times New Roman;serif" w:hAnsi="Times New Roman;serif"/>
          <w:b w:val="false"/>
          <w:color w:val="000000"/>
          <w:sz w:val="22"/>
        </w:rPr>
        <w:t>) on the date hereof under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The Registration Statement relates to the offer and sale from time to time</w:t>
      </w:r>
      <w:r>
        <w:rPr>
          <w:color w:val="000000"/>
        </w:rPr>
        <w:t xml:space="preserve"> </w:t>
      </w:r>
      <w:r>
        <w:rPr>
          <w:rFonts w:ascii="Times New Roman;serif" w:hAnsi="Times New Roman;serif"/>
          <w:b w:val="false"/>
          <w:color w:val="000000"/>
          <w:sz w:val="22"/>
        </w:rPr>
        <w:t>by the Company, pursuant to the sales agreement, dated as of August 13, 2026 (the “</w:t>
      </w:r>
      <w:r>
        <w:rPr>
          <w:rFonts w:ascii="Times New Roman;serif" w:hAnsi="Times New Roman;serif"/>
          <w:b/>
          <w:color w:val="000000"/>
          <w:sz w:val="22"/>
        </w:rPr>
        <w:t>Sales</w:t>
      </w:r>
      <w:r>
        <w:rPr>
          <w:color w:val="000000"/>
        </w:rPr>
        <w:t xml:space="preserv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between the Company and Cantor Fitzgerald &amp; Co., as the sales agent, of shares of the Company’s common stock, par value $0.001 per share, having an aggregate offering price of up to $100,000,000 (the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our capacity as such counsel, we have examined originals or copies of those corporate and other records and documents we considered appropriate. We have assumed the genuineness of all signatures, the authenticity of all documents submitted to us as originals and the conformity with originals of all documents submitted to us as copies.</w:t>
      </w:r>
    </w:p>
    <w:p>
      <w:pPr>
        <w:pStyle w:val="TextBody"/>
        <w:bidi w:val="0"/>
        <w:spacing w:lineRule="auto" w:line="288" w:before="0" w:after="220"/>
        <w:ind w:left="0" w:right="0" w:firstLine="720"/>
        <w:jc w:val="both"/>
        <w:rPr/>
      </w:pPr>
      <w:r>
        <w:rPr>
          <w:rFonts w:ascii="Times New Roman;serif" w:hAnsi="Times New Roman;serif"/>
          <w:b w:val="false"/>
          <w:color w:val="000000"/>
          <w:sz w:val="22"/>
        </w:rPr>
        <w:t>We have also assumed that the Shares, when issued, will be issued in accordance with and not in violation of any terms and conditions established by the Board of Directors or any committee thereof in the resolutions adopted by the Board of Directors or any such committee thereof with respect to the issuance of the Shares (such approvals are referred to hereinafter as the “</w:t>
      </w:r>
      <w:r>
        <w:rPr>
          <w:rFonts w:ascii="Times New Roman;serif" w:hAnsi="Times New Roman;serif"/>
          <w:b/>
          <w:color w:val="000000"/>
          <w:sz w:val="22"/>
        </w:rPr>
        <w:t>Corporate Approvals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the basis of such examination and subject to the limitations and qualifications in this letter, we are of the opinion that the issuance and sale of the Shares have been duly authorized by all necessary corporate action on the part of the Company, and upon payment for and delivery of the Shares pursuant to the terms of the Sales Agreement and in accordance with the Corporate Approvals, the Shares will be validly issued, fully paid and non-assessable.</w:t>
      </w:r>
    </w:p>
    <w:p>
      <w:pPr>
        <w:pStyle w:val="TextBody"/>
        <w:bidi w:val="0"/>
        <w:spacing w:lineRule="auto" w:line="288" w:before="0" w:after="2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law covered by this letter is limited to the present General Corporation Law of the State of Delaware. We express no opinion as to the laws of any other jurisdiction and no opinion regarding the statutes, administrative decisions, rules, regulations or requirements of any county, municipality, subdivision or local authority of any jurisdiction. </w:t>
      </w:r>
    </w:p>
    <w:p>
      <w:pPr>
        <w:pStyle w:val="TextBody"/>
        <w:bidi w:val="0"/>
        <w:spacing w:lineRule="auto" w:line="288" w:before="0" w:after="2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This letter is being furnished in accordance with the requirements of Item 601(b)(5) of Regulation S-K promulgated under the Securities Act, and no opinion is expressed herein as to any matter pertaining to the contents of the Registration Statement or the prospectus included therein, other than as expressly stated herein with respect to the Shares. This letter is expressly limited to the matters set forth above, and we render no opinion, whether by implication or otherwise, as to any other matters. This letter speaks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942340"/>
                <wp:effectExtent l="0" t="0" r="0" b="0"/>
                <wp:wrapNone/>
                <wp:docPr id="65" name="Frame57"/>
                <a:graphic xmlns:a="http://schemas.openxmlformats.org/drawingml/2006/main">
                  <a:graphicData uri="http://schemas.microsoft.com/office/word/2010/wordprocessingShape">
                    <wps:wsp>
                      <wps:cNvSpPr txBox="1"/>
                      <wps:spPr>
                        <a:xfrm>
                          <a:off x="0" y="0"/>
                          <a:ext cx="6480175" cy="942340"/>
                        </a:xfrm>
                        <a:prstGeom prst="rect"/>
                        <a:solidFill>
                          <a:srgbClr val="FFFFFF"/>
                        </a:solidFill>
                      </wps:spPr>
                      <wps:txbx>
                        <w:txbxContent>
                          <w:tbl>
                            <w:tblPr>
                              <w:tblW w:w="9209" w:type="dxa"/>
                              <w:jc w:val="center"/>
                              <w:tblInd w:w="0" w:type="dxa"/>
                              <w:tblLayout w:type="fixed"/>
                              <w:tblCellMar>
                                <w:top w:w="28" w:type="dxa"/>
                                <w:left w:w="28" w:type="dxa"/>
                                <w:bottom w:w="28" w:type="dxa"/>
                                <w:right w:w="28" w:type="dxa"/>
                              </w:tblCellMar>
                            </w:tblPr>
                            <w:tblGrid>
                              <w:gridCol w:w="2950"/>
                              <w:gridCol w:w="2593"/>
                              <w:gridCol w:w="3666"/>
                            </w:tblGrid>
                            <w:tr>
                              <w:trPr/>
                              <w:tc>
                                <w:tcPr>
                                  <w:tcW w:w="2950" w:type="dxa"/>
                                  <w:tcBorders/>
                                  <w:vAlign w:val="center"/>
                                </w:tcPr>
                                <w:p>
                                  <w:pPr>
                                    <w:pStyle w:val="TableContents"/>
                                    <w:bidi w:val="0"/>
                                    <w:spacing w:before="0" w:after="283"/>
                                    <w:jc w:val="left"/>
                                    <w:rPr>
                                      <w:sz w:val="4"/>
                                      <w:szCs w:val="4"/>
                                    </w:rPr>
                                  </w:pPr>
                                  <w:r>
                                    <w:rPr>
                                      <w:sz w:val="4"/>
                                      <w:szCs w:val="4"/>
                                    </w:rPr>
                                  </w:r>
                                  <w:r>
                                    <w:br w:type="page"/>
                                  </w:r>
                                </w:p>
                              </w:tc>
                              <w:tc>
                                <w:tcPr>
                                  <w:tcW w:w="2593"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9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Austin  •  Century City  •  Dallas  •  Houston  •  Los Angeles  •  Newport Beach  •  New York  •  San Francisco  •  Silicon Valley  •  Washington, DC</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 xml:space="preserve">Beijing  •  Brussels  •  Hong Kong  •  London  •  Seoul  •  Shanghai  •  Singapore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2pt;mso-wrap-distance-left:0pt;mso-wrap-distance-right:0pt;mso-wrap-distance-top:0pt;mso-wrap-distance-bottom:0pt;margin-top:0pt;mso-position-vertical:top;mso-position-vertical-relative:text;margin-left:0pt;mso-position-horizontal:left;mso-position-horizontal-relative:text">
                <v:textbox>
                  <w:txbxContent>
                    <w:tbl>
                      <w:tblPr>
                        <w:tblW w:w="9209" w:type="dxa"/>
                        <w:jc w:val="center"/>
                        <w:tblInd w:w="0" w:type="dxa"/>
                        <w:tblLayout w:type="fixed"/>
                        <w:tblCellMar>
                          <w:top w:w="28" w:type="dxa"/>
                          <w:left w:w="28" w:type="dxa"/>
                          <w:bottom w:w="28" w:type="dxa"/>
                          <w:right w:w="28" w:type="dxa"/>
                        </w:tblCellMar>
                      </w:tblPr>
                      <w:tblGrid>
                        <w:gridCol w:w="2950"/>
                        <w:gridCol w:w="2593"/>
                        <w:gridCol w:w="3666"/>
                      </w:tblGrid>
                      <w:tr>
                        <w:trPr/>
                        <w:tc>
                          <w:tcPr>
                            <w:tcW w:w="295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9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Austin  •  Century City  •  Dallas  •  Houston  •  Los Angeles  •  Newport Beach  •  New York  •  San Francisco  •  Silicon Valley  •  Washington, DC</w:t>
                            </w:r>
                          </w:p>
                          <w:p>
                            <w:pPr>
                              <w:pStyle w:val="TableContents"/>
                              <w:bidi w:val="0"/>
                              <w:spacing w:lineRule="auto" w:line="333" w:before="0" w:after="0"/>
                              <w:jc w:val="center"/>
                              <w:rPr>
                                <w:rFonts w:ascii="Arial;sans-serif" w:hAnsi="Arial;sans-serif"/>
                                <w:b w:val="false"/>
                                <w:color w:val="000000"/>
                                <w:sz w:val="14"/>
                              </w:rPr>
                            </w:pPr>
                            <w:r>
                              <w:rPr>
                                <w:rFonts w:ascii="Arial;sans-serif" w:hAnsi="Arial;sans-serif"/>
                                <w:b w:val="false"/>
                                <w:color w:val="000000"/>
                                <w:sz w:val="14"/>
                              </w:rPr>
                              <w:t xml:space="preserve">Beijing  •  Brussels  •  Hong Kong  •  London  •  Seoul  •  Shanghai  •  Singapore </w:t>
                            </w:r>
                          </w:p>
                        </w:tc>
                      </w:tr>
                    </w:tbl>
                    <w:p>
                      <w:pPr>
                        <w:pStyle w:val="TextBody"/>
                        <w:bidi w:val="0"/>
                        <w:spacing w:before="0" w:after="283"/>
                        <w:jc w:val="left"/>
                        <w:rPr/>
                      </w:pPr>
                      <w:r>
                        <w:rPr/>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124"/>
        <w:gridCol w:w="109"/>
        <w:gridCol w:w="109"/>
        <w:gridCol w:w="460"/>
        <w:gridCol w:w="460"/>
        <w:gridCol w:w="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80975"/>
                  <wp:effectExtent l="0" t="0" r="0" b="0"/>
                  <wp:docPr id="6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9" descr=""/>
                          <pic:cNvPicPr>
                            <a:picLocks noChangeAspect="1" noChangeArrowheads="1"/>
                          </pic:cNvPicPr>
                        </pic:nvPicPr>
                        <pic:blipFill>
                          <a:blip r:embed="rId51"/>
                          <a:stretch>
                            <a:fillRect/>
                          </a:stretch>
                        </pic:blipFill>
                        <pic:spPr bwMode="auto">
                          <a:xfrm>
                            <a:off x="0" y="0"/>
                            <a:ext cx="914400" cy="180975"/>
                          </a:xfrm>
                          <a:prstGeom prst="rect">
                            <a:avLst/>
                          </a:prstGeom>
                        </pic:spPr>
                      </pic:pic>
                    </a:graphicData>
                  </a:graphic>
                </wp:inline>
              </w:drawing>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only as of the date hereof and we assume no obligation to update or supplement this letter to reflect any facts or circumstances that arise after the date hereof and come to our attention or any future changes in laws.</w:t>
      </w:r>
    </w:p>
    <w:p>
      <w:pPr>
        <w:pStyle w:val="TextBody"/>
        <w:bidi w:val="0"/>
        <w:spacing w:lineRule="auto" w:line="288" w:before="0" w:after="4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hereby consent to the use of this letter as an exhibit to the Registration Statement and to the reference to this firm under the heading “Legal Matters” in the prospectus constituting part of the Registration Statement. In giving such consent, we do not hereby admit that we are within the category of persons whose consent is required under Section 7 of the Securities Act or the rules or regulations of the Commission thereunder.</w:t>
      </w:r>
    </w:p>
    <w:tbl>
      <w:tblPr>
        <w:tblW w:w="3488" w:type="dxa"/>
        <w:jc w:val="left"/>
        <w:tblInd w:w="0" w:type="dxa"/>
        <w:tblLayout w:type="fixed"/>
        <w:tblCellMar>
          <w:top w:w="28" w:type="dxa"/>
          <w:left w:w="28" w:type="dxa"/>
          <w:bottom w:w="28" w:type="dxa"/>
          <w:right w:w="28" w:type="dxa"/>
        </w:tblCellMar>
      </w:tblPr>
      <w:tblGrid>
        <w:gridCol w:w="124"/>
        <w:gridCol w:w="109"/>
        <w:gridCol w:w="109"/>
        <w:gridCol w:w="924"/>
        <w:gridCol w:w="924"/>
        <w:gridCol w:w="9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Respectfully submitted,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O’Melveny &amp; Myers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19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19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consent to the incorporation by reference in this Registration Statement on Form S-3 of CapsoVision, Inc. (the “Company”) of our report dated March 26, 2026, relating to the financial statements of the Company (which report expresses an unqualified opinion and includes an explanatory paragraph relating to the Company’s ability to continue as a going concern),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Baker Tilly US, LLP</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Santa Clara, California</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August 13, 2026</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378325/000137832526000010/cv-20251231.htm" TargetMode="External"/><Relationship Id="rId4" Type="http://schemas.openxmlformats.org/officeDocument/2006/relationships/hyperlink" Target="https://www.sec.gov/ix?doc=/Archives/edgar/data/0001378325/000137832526000013/cv-20260427.htm" TargetMode="External"/><Relationship Id="rId5" Type="http://schemas.openxmlformats.org/officeDocument/2006/relationships/hyperlink" Target="https://www.sec.gov/ix?doc=/Archives/edgar/data/0001378325/000137832526000021/cv-20260331.htm" TargetMode="External"/><Relationship Id="rId6" Type="http://schemas.openxmlformats.org/officeDocument/2006/relationships/hyperlink" Target="https://www.sec.gov/ix?doc=/Archives/edgar/data/0001378325/000137832526000036/cv-20260630.htm" TargetMode="External"/><Relationship Id="rId7" Type="http://schemas.openxmlformats.org/officeDocument/2006/relationships/hyperlink" Target="https://www.sec.gov/ix?doc=/Archives/edgar/data/0001378325/000137832526000036/cv-20260630.htm" TargetMode="External"/><Relationship Id="rId8" Type="http://schemas.openxmlformats.org/officeDocument/2006/relationships/hyperlink" Target="https://www.sec.gov/ix?doc=/Archives/edgar/data/0001378325/000137832526000036/cv-20260630.htm" TargetMode="External"/><Relationship Id="rId9" Type="http://schemas.openxmlformats.org/officeDocument/2006/relationships/hyperlink" Target="https://www.sec.gov/ix?doc=/Archives/edgar/data/0001378325/000137832526000002/cv-20260313.htm" TargetMode="External"/><Relationship Id="rId10" Type="http://schemas.openxmlformats.org/officeDocument/2006/relationships/hyperlink" Target="https://www.sec.gov/ix?doc=/Archives/edgar/data/0001378325/000137832526000004/cv-20260320.htm" TargetMode="External"/><Relationship Id="rId11" Type="http://schemas.openxmlformats.org/officeDocument/2006/relationships/hyperlink" Target="https://www.sec.gov/ix?doc=/Archives/edgar/data/0001378325/000137832526000023/cv-20260611.htm" TargetMode="External"/><Relationship Id="rId12" Type="http://schemas.openxmlformats.org/officeDocument/2006/relationships/hyperlink" Target="https://www.sec.gov/ix?doc=/Archives/edgar/data/0001378325/000137832526000026/cv-20260701.htm" TargetMode="External"/><Relationship Id="rId13" Type="http://schemas.openxmlformats.org/officeDocument/2006/relationships/hyperlink" Target="https://www.sec.gov/ix?doc=/Archives/edgar/data/1378325/000137832526000035/cv-20260813.htm" TargetMode="External"/><Relationship Id="rId14" Type="http://schemas.openxmlformats.org/officeDocument/2006/relationships/hyperlink" Target="https://www.sec.gov/Archives/edgar/data/1378325/000119312525140839/d67263d8a12b.htm" TargetMode="External"/><Relationship Id="rId15" Type="http://schemas.openxmlformats.org/officeDocument/2006/relationships/image" Target="media/image1.jpeg"/><Relationship Id="rId16" Type="http://schemas.openxmlformats.org/officeDocument/2006/relationships/hyperlink" Target="https://www.sec.gov/ix?doc=/Archives/edgar/data/0001378325/000137832526000010/cv-20251231.htm" TargetMode="External"/><Relationship Id="rId17" Type="http://schemas.openxmlformats.org/officeDocument/2006/relationships/hyperlink" Target="https://www.sec.gov/ix?doc=/Archives/edgar/data/0001378325/000137832526000013/cv-20260427.htm" TargetMode="External"/><Relationship Id="rId18" Type="http://schemas.openxmlformats.org/officeDocument/2006/relationships/hyperlink" Target="https://www.sec.gov/ix?doc=/Archives/edgar/data/0001378325/000137832526000021/cv-20260331.htm" TargetMode="External"/><Relationship Id="rId19" Type="http://schemas.openxmlformats.org/officeDocument/2006/relationships/hyperlink" Target="https://www.sec.gov/ix?doc=/Archives/edgar/data/0001378325/000137832526000036/cv-20260630.htm" TargetMode="External"/><Relationship Id="rId20" Type="http://schemas.openxmlformats.org/officeDocument/2006/relationships/hyperlink" Target="https://www.sec.gov/ix?doc=/Archives/edgar/data/0001378325/000137832526000036/cv-20260630.htm" TargetMode="External"/><Relationship Id="rId21" Type="http://schemas.openxmlformats.org/officeDocument/2006/relationships/hyperlink" Target="https://www.sec.gov/ix?doc=/Archives/edgar/data/0001378325/000137832526000036/cv-20260630.htm" TargetMode="External"/><Relationship Id="rId22" Type="http://schemas.openxmlformats.org/officeDocument/2006/relationships/hyperlink" Target="https://www.sec.gov/ix?doc=/Archives/edgar/data/0001378325/000137832526000002/cv-20260313.htm" TargetMode="External"/><Relationship Id="rId23" Type="http://schemas.openxmlformats.org/officeDocument/2006/relationships/hyperlink" Target="https://www.sec.gov/ix?doc=/Archives/edgar/data/0001378325/000137832526000004/cv-20260320.htm" TargetMode="External"/><Relationship Id="rId24" Type="http://schemas.openxmlformats.org/officeDocument/2006/relationships/hyperlink" Target="https://www.sec.gov/ix?doc=/Archives/edgar/data/0001378325/000137832526000023/cv-20260611.htm" TargetMode="External"/><Relationship Id="rId25" Type="http://schemas.openxmlformats.org/officeDocument/2006/relationships/hyperlink" Target="https://www.sec.gov/ix?doc=/Archives/edgar/data/0001378325/000137832526000026/cv-20260701.htm" TargetMode="External"/><Relationship Id="rId26" Type="http://schemas.openxmlformats.org/officeDocument/2006/relationships/hyperlink" Target="https://www.sec.gov/ix?doc=/Archives/edgar/data/0001378325/000137832526000035/cv-20260813.htm" TargetMode="External"/><Relationship Id="rId27" Type="http://schemas.openxmlformats.org/officeDocument/2006/relationships/hyperlink" Target="https://www.sec.gov/Archives/edgar/data/1378325/000119312525140839/d67263d8a12b.htm" TargetMode="External"/><Relationship Id="rId28" Type="http://schemas.openxmlformats.org/officeDocument/2006/relationships/image" Target="media/image1.jpeg"/><Relationship Id="rId29" Type="http://schemas.openxmlformats.org/officeDocument/2006/relationships/hyperlink" Target="https://www.sec.gov/Archives/edgar/data/1378325/000137832526000035/cv-20260813xex101.htm" TargetMode="External"/><Relationship Id="rId30" Type="http://schemas.openxmlformats.org/officeDocument/2006/relationships/hyperlink" Target="https://www.sec.gov/Archives/edgar/data/1378325/000137832526000035/cv-20260813xex101.htm" TargetMode="External"/><Relationship Id="rId31" Type="http://schemas.openxmlformats.org/officeDocument/2006/relationships/hyperlink" Target="https://www.sec.gov/Archives/edgar/data/1378325/000137832526000035/cv-20260813xex101.htm" TargetMode="External"/><Relationship Id="rId32" Type="http://schemas.openxmlformats.org/officeDocument/2006/relationships/hyperlink" Target="https://www.sec.gov/Archives/edgar/data/1378325/000137832526000035/cv-20260813xex101.htm" TargetMode="External"/><Relationship Id="rId33" Type="http://schemas.openxmlformats.org/officeDocument/2006/relationships/hyperlink" Target="https://www.sec.gov/Archives/edgar/data/1378325/000137832526000035/cv-20260813xex101.htm" TargetMode="External"/><Relationship Id="rId34" Type="http://schemas.openxmlformats.org/officeDocument/2006/relationships/hyperlink" Target="https://www.sec.gov/Archives/edgar/data/1378325/000137832526000035/cv-20260813xex101.htm" TargetMode="External"/><Relationship Id="rId35" Type="http://schemas.openxmlformats.org/officeDocument/2006/relationships/hyperlink" Target="https://www.sec.gov/Archives/edgar/data/1378325/000137832526000035/cv-20260813xex101.htm" TargetMode="External"/><Relationship Id="rId36" Type="http://schemas.openxmlformats.org/officeDocument/2006/relationships/hyperlink" Target="https://www.sec.gov/Archives/edgar/data/1378325/000137832526000035/cv-20260813xex101.htm" TargetMode="External"/><Relationship Id="rId37" Type="http://schemas.openxmlformats.org/officeDocument/2006/relationships/hyperlink" Target="https://www.sec.gov/Archives/edgar/data/1378325/000137832526000035/cv-20260813xex101.htm" TargetMode="External"/><Relationship Id="rId38" Type="http://schemas.openxmlformats.org/officeDocument/2006/relationships/hyperlink" Target="https://www.sec.gov/Archives/edgar/data/1378325/000137832526000035/cv-20260813xex101.htm" TargetMode="External"/><Relationship Id="rId39" Type="http://schemas.openxmlformats.org/officeDocument/2006/relationships/hyperlink" Target="https://www.sec.gov/Archives/edgar/data/1378325/000137832526000035/cv-20260813xex101.htm" TargetMode="External"/><Relationship Id="rId40" Type="http://schemas.openxmlformats.org/officeDocument/2006/relationships/hyperlink" Target="https://www.sec.gov/Archives/edgar/data/1378325/000137832526000035/cv-20260813xex101.htm" TargetMode="External"/><Relationship Id="rId41" Type="http://schemas.openxmlformats.org/officeDocument/2006/relationships/hyperlink" Target="https://www.sec.gov/Archives/edgar/data/1378325/000119312525155527/d55184dex31.htm" TargetMode="External"/><Relationship Id="rId42" Type="http://schemas.openxmlformats.org/officeDocument/2006/relationships/hyperlink" Target="https://www.sec.gov/Archives/edgar/data/1378325/000119312525155527/d55184dex32.htm" TargetMode="External"/><Relationship Id="rId43" Type="http://schemas.openxmlformats.org/officeDocument/2006/relationships/hyperlink" Target="https://www.sec.gov/Archives/edgar/data/1378325/000119312525140836/d916440dex41.htm" TargetMode="External"/><Relationship Id="rId44" Type="http://schemas.openxmlformats.org/officeDocument/2006/relationships/hyperlink" Target="https://www.sec.gov/Archives/edgar/data/1378325/000119312525116894/d916440dex42.htm" TargetMode="External"/><Relationship Id="rId45" Type="http://schemas.openxmlformats.org/officeDocument/2006/relationships/hyperlink" Target="https://www.sec.gov/Archives/edgar/data/1378325/000119312525149285/d916440dex43.htm" TargetMode="External"/><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24474</Words>
  <Characters>129864</Characters>
  <CharactersWithSpaces>153793</CharactersWithSpaces>
  <Paragraphs>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