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17,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CapsoVision,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20-3369494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70"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18805 Cox Avenue, Suite 250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Saratoga,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95070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(408)-624-1488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84" w:type="dxa"/>
        <w:jc w:val="left"/>
        <w:tblInd w:w="0" w:type="dxa"/>
        <w:tblLayout w:type="fixed"/>
        <w:tblCellMar>
          <w:top w:w="28" w:type="dxa"/>
          <w:left w:w="28" w:type="dxa"/>
          <w:bottom w:w="28" w:type="dxa"/>
          <w:right w:w="28" w:type="dxa"/>
        </w:tblCellMar>
      </w:tblPr>
      <w:tblGrid>
        <w:gridCol w:w="1291"/>
        <w:gridCol w:w="1132"/>
        <w:gridCol w:w="1147"/>
        <w:gridCol w:w="109"/>
        <w:gridCol w:w="109"/>
        <w:gridCol w:w="109"/>
        <w:gridCol w:w="230"/>
        <w:gridCol w:w="230"/>
        <w:gridCol w:w="231"/>
        <w:gridCol w:w="109"/>
        <w:gridCol w:w="109"/>
        <w:gridCol w:w="109"/>
        <w:gridCol w:w="781"/>
        <w:gridCol w:w="781"/>
        <w:gridCol w:w="1107"/>
      </w:tblGrid>
      <w:tr>
        <w:trPr/>
        <w:tc>
          <w:tcPr>
            <w:tcW w:w="1291"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17, 2026, CapsoVision, Inc. (the “Company”) entered into a securities purchase agreement (the “Purchase Agreement”) with certain investors (the “Purchasers”), which provides for the issuance and sale, in a registered direct offering by the Company, of an aggregate of 3,163,444 shares (the “Shares”) of its common stock, par value $0.001 per share (the “Common Stock”), at a purchase price of $5.69 per share of Common Stock (the “Offering”). The purchase price per share represents a discount of approximately 5% to the last reported sale price of the Common Stock on The Nasdaq Capital Market on September 16, 2026. The Offering was made without an underwriter or placement agent. The Offering is expected to close on or about September 18, 2026, subject to the satisfaction or waiver of customary closing conditions.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Each of the Purchasers is an existing stockholder of the Company. Star One Global Capital Limited is wholly owned by Ching-Hang Shen. Ching-Hang Shen and Eliyahou Harari are related persons because each beneficially owns more than 5% of the Company’s outstanding Common Stock. In this Offering, Star One Global Capital Limited is purchasing 878,734 shares for an aggregate purchase price of approximately $5.0 million and Eliyahou Harari is purchasing 1,757,469 shares for an aggregate purchase price of approximately $10.0 million. An additional existing stockholder who owns less than 5% of the Company's outstanding Common Stock is purchasing the remaining 527,241 shares for an aggregate purchase price of approximately $3.0 million. The Purchasers are purchasing shares at the same price and on the same material terms as each other. The Company’s board of directors approved the Offering, and the Company’s audit committee reviewed and approved the related person transactions in accordance with the Company’s related person transaction policy.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gross proceeds to the Company from the Offering will be approximately $18 million, before deducting estimated offering expenses payable by the Company. The Company intends to use the net proceeds from the Offering for general corporate purposes, including sales and marketing, research and development activities, general and administrative matters, and working capital.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Purchase Agreement contains customary representations, warranties and agreements by the Company and the Purchasers, customary conditions to closing, and other obligations of the parties. The foregoing summary of the Purchase Agreement does not purport to be complete and is qualified in its entirety by reference to the full text of the Purchase Agreement, a form of which is filed as Exhibit 10.1 to this Current Report on Form 8-K (this “Current Report”) and is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Shares are being offered and sold by the Company pursuant to the Registration Statement on Form S-3 (File No. 333-298315), which was declared effective by the Securities and Exchange Commission on August 21, 2026 (the “Registration Statement”), and a related prospectus included in the Registration Statement, as supplemented by a prospectus supplement dated September 17,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copy of the legal opinion of O’Melveny &amp; Myers LLP, relating to the validity of the Shares to be issued in the Offering, is filed as Exhibit 5.1 to this Current Report and is filed with reference to, and is hereby incorporated by reference into,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3"/>
        <w:gridCol w:w="1923"/>
        <w:gridCol w:w="275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918xex51.htm">
              <w:r>
                <w:rPr>
                  <w:rStyle w:val="InternetLink"/>
                  <w:rFonts w:ascii="Times New Roman;serif" w:hAnsi="Times New Roman;serif"/>
                  <w:b w:val="false"/>
                  <w:color w:val="0000FF"/>
                  <w:sz w:val="20"/>
                  <w:u w:val="single"/>
                </w:rPr>
                <w:t xml:space="preserve">Opinion of O’Melveny &amp; Myers LLP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918xex101.htm">
              <w:r>
                <w:rPr>
                  <w:rStyle w:val="InternetLink"/>
                  <w:rFonts w:ascii="Times New Roman;serif" w:hAnsi="Times New Roman;serif"/>
                  <w:b w:val="false"/>
                  <w:color w:val="0000FF"/>
                  <w:sz w:val="20"/>
                  <w:u w:val="single"/>
                </w:rPr>
                <w:t>Form of Securities Purchase Agreement</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918xex51.htm">
              <w:r>
                <w:rPr>
                  <w:rStyle w:val="InternetLink"/>
                  <w:rFonts w:ascii="Times New Roman;serif" w:hAnsi="Times New Roman;serif"/>
                  <w:b w:val="false"/>
                  <w:color w:val="0000FF"/>
                  <w:sz w:val="20"/>
                  <w:u w:val="single"/>
                </w:rPr>
                <w:t>Consent of O’Melveny &amp; Myers LLP (included in Exhibit 5.1)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 Certain personally identifiable information of this exhibit has been omitted pursuant to Item 601(a)(6) of Regulation S-K.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7088" w:type="dxa"/>
        <w:jc w:val="left"/>
        <w:tblInd w:w="0" w:type="dxa"/>
        <w:tblLayout w:type="fixed"/>
        <w:tblCellMar>
          <w:top w:w="28" w:type="dxa"/>
          <w:left w:w="28" w:type="dxa"/>
          <w:bottom w:w="28" w:type="dxa"/>
          <w:right w:w="28" w:type="dxa"/>
        </w:tblCellMar>
      </w:tblPr>
      <w:tblGrid>
        <w:gridCol w:w="802"/>
        <w:gridCol w:w="707"/>
        <w:gridCol w:w="711"/>
        <w:gridCol w:w="303"/>
        <w:gridCol w:w="303"/>
        <w:gridCol w:w="303"/>
        <w:gridCol w:w="1156"/>
        <w:gridCol w:w="1156"/>
        <w:gridCol w:w="1647"/>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18, 2026</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drawing>
          <wp:inline distT="0" distB="0" distL="0" distR="0">
            <wp:extent cx="523875" cy="104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23875" cy="104775"/>
                    </a:xfrm>
                    <a:prstGeom prst="rect">
                      <a:avLst/>
                    </a:prstGeom>
                  </pic:spPr>
                </pic:pic>
              </a:graphicData>
            </a:graphic>
          </wp:inline>
        </w:drawing>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 xml:space="preserve">O’Melveny &amp; Myers LLP T: +1 212 326 2000                    File Number: </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F: +1 212 326 2061 T: +1 212 326 2000                    0134980-00008</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F: +1 212 326 2061         omm.com</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1301 Avenue of the Americas</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Suite 1700</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New York, NY 10019-6022</w:t>
      </w:r>
    </w:p>
    <w:p>
      <w:pPr>
        <w:pStyle w:val="TextBody"/>
        <w:bidi w:val="0"/>
        <w:spacing w:before="0" w:after="240"/>
        <w:jc w:val="left"/>
        <w:rPr/>
      </w:pPr>
      <w:r>
        <w:rPr/>
      </w:r>
    </w:p>
    <w:p>
      <w:pPr>
        <w:pStyle w:val="TextBody"/>
        <w:bidi w:val="0"/>
        <w:spacing w:lineRule="auto" w:line="304"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18, 2026</w:t>
      </w:r>
    </w:p>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000000"/>
          <w:sz w:val="24"/>
        </w:rPr>
      </w:pPr>
      <w:r>
        <w:rPr>
          <w:rFonts w:ascii="Times New Roman;serif" w:hAnsi="Times New Roman;serif"/>
          <w:b w:val="false"/>
          <w:color w:val="000000"/>
          <w:sz w:val="24"/>
        </w:rPr>
        <w:t>CapsoVision, Inc.</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18805 Cox Avenue, Suite 250 Saratoga, CA 95070 </w:t>
      </w:r>
    </w:p>
    <w:p>
      <w:pPr>
        <w:pStyle w:val="TextBody"/>
        <w:bidi w:val="0"/>
        <w:spacing w:before="0" w:after="240"/>
        <w:jc w:val="left"/>
        <w:rPr/>
      </w:pPr>
      <w:r>
        <w:rPr/>
      </w:r>
    </w:p>
    <w:p>
      <w:pPr>
        <w:pStyle w:val="TextBody"/>
        <w:bidi w:val="0"/>
        <w:spacing w:lineRule="auto" w:line="276" w:before="0" w:after="0"/>
        <w:jc w:val="left"/>
        <w:rPr/>
      </w:pPr>
      <w:r>
        <w:rPr>
          <w:rFonts w:ascii="Times New Roman;serif" w:hAnsi="Times New Roman;serif"/>
          <w:b/>
          <w:color w:val="000000"/>
          <w:sz w:val="24"/>
        </w:rPr>
        <w:t>Re:    </w:t>
      </w:r>
      <w:r>
        <w:rPr>
          <w:rFonts w:ascii="Times New Roman;serif" w:hAnsi="Times New Roman;serif"/>
          <w:b/>
          <w:i/>
          <w:color w:val="000000"/>
          <w:sz w:val="24"/>
          <w:u w:val="single"/>
        </w:rPr>
        <w:t>Offering of 3,163,444 Shares of Common Stock of CapsoVision, Inc.</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We have acted as special counsel to CapsoVision, Inc., a Delaware corporation (the “Company”), in connection with the offer and sale by the Company of 3,163,444 shares (the “Shares”) of the Company’s common stock, par value $0.001 per share, pursuant to a securities purchase agreement, dated September 17, 2026 (the “Securities Purchase Agreement”), among the Company and the purchasers named therein. The Shares are being offered and sold pursuant to the registration statement on Form S-3 (File No. 333-298315) (the “Registration Statement”), initially filed by the Company with the Securities and Exchange Commission (the “Commission”) under the Securities Act of 1933, as amended (the “Securities Act”) on August 13, 2025 and declared effective by the Commission on August 21, 2026, and the prospectus supplement (the “Prospectus Supplement”), dated September 17, 2026, relating to the offering of the Shares and filed with the Commission.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our capacity as such counsel, we have examined originals or copies of those corporate and other records and documents we considered appropriate, including, among other things, the following:</w:t>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Registration Statement;</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Prospectus Supplement;</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Securities Purchase Agreement;</w:t>
      </w:r>
    </w:p>
    <w:p>
      <w:pPr>
        <w:pStyle w:val="TextBody"/>
        <w:bidi w:val="0"/>
        <w:spacing w:before="0" w:after="0"/>
        <w:ind w:left="0" w:right="0" w:firstLine="720"/>
        <w:jc w:val="both"/>
        <w:rPr/>
      </w:pPr>
      <w:r>
        <w:rPr/>
      </w:r>
    </w:p>
    <w:p>
      <w:pPr>
        <w:pStyle w:val="TextBody"/>
        <w:bidi w:val="0"/>
        <w:spacing w:lineRule="auto" w:line="304" w:before="0" w:after="0"/>
        <w:jc w:val="both"/>
        <w:rPr/>
      </w:pPr>
      <w:r>
        <w:rPr>
          <w:rFonts w:ascii="Times New Roman;serif" w:hAnsi="Times New Roman;serif"/>
          <w:b w:val="false"/>
          <w:color w:val="000000"/>
          <w:sz w:val="24"/>
        </w:rPr>
        <w:t>(iv) the Amended and Restated Certificate of Incorporation of the Company, including all amendments thereto, as presently in effect (the “</w:t>
      </w:r>
      <w:r>
        <w:rPr>
          <w:rFonts w:ascii="Times New Roman;serif" w:hAnsi="Times New Roman;serif"/>
          <w:b/>
          <w:color w:val="000000"/>
          <w:sz w:val="24"/>
        </w:rPr>
        <w:t>Certificate of Incorporation</w:t>
      </w:r>
      <w:r>
        <w:rPr>
          <w:color w:val="000000"/>
        </w:rPr>
        <w:t>”</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304" w:before="0" w:after="0"/>
        <w:jc w:val="both"/>
        <w:rPr/>
      </w:pPr>
      <w:r>
        <w:rPr>
          <w:rFonts w:ascii="Times New Roman;serif" w:hAnsi="Times New Roman;serif"/>
          <w:b w:val="false"/>
          <w:color w:val="000000"/>
          <w:sz w:val="24"/>
        </w:rPr>
        <w:t>(v) the Amended and Restated Bylaws of the Company, including all amendments thereto, as presently in effect (the “</w:t>
      </w:r>
      <w:r>
        <w:rPr>
          <w:rFonts w:ascii="Times New Roman;serif" w:hAnsi="Times New Roman;serif"/>
          <w:b/>
          <w:color w:val="000000"/>
          <w:sz w:val="24"/>
        </w:rPr>
        <w:t>Bylaws</w:t>
      </w:r>
      <w:r>
        <w:rPr>
          <w:color w:val="000000"/>
        </w:rPr>
        <w:t xml:space="preserve">” </w:t>
      </w:r>
      <w:r>
        <w:rPr>
          <w:rFonts w:ascii="Times New Roman;serif" w:hAnsi="Times New Roman;serif"/>
          <w:b w:val="false"/>
          <w:color w:val="000000"/>
          <w:sz w:val="24"/>
        </w:rPr>
        <w:t>and, together with the Certificate of Incorporation, the “</w:t>
      </w:r>
      <w:r>
        <w:rPr>
          <w:rFonts w:ascii="Times New Roman;serif" w:hAnsi="Times New Roman;serif"/>
          <w:b/>
          <w:color w:val="000000"/>
          <w:sz w:val="24"/>
        </w:rPr>
        <w:t>Organizational Documents</w:t>
      </w:r>
      <w:r>
        <w:rPr>
          <w:color w:val="000000"/>
        </w:rPr>
        <w:t>”</w:t>
      </w:r>
      <w:r>
        <w:rPr>
          <w:rFonts w:ascii="Times New Roman;serif" w:hAnsi="Times New Roman;serif"/>
          <w:b w:val="false"/>
          <w:color w:val="000000"/>
          <w:sz w:val="24"/>
        </w:rPr>
        <w:t>); and</w:t>
      </w:r>
    </w:p>
    <w:p>
      <w:pPr>
        <w:pStyle w:val="TextBody"/>
        <w:bidi w:val="0"/>
        <w:ind w:left="0" w:right="0" w:firstLine="720"/>
        <w:jc w:val="both"/>
        <w:rPr/>
      </w:pPr>
      <w:r>
        <w:rPr/>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Arial;sans-serif" w:hAnsi="Arial;sans-serif"/>
                                <w:b w:val="false"/>
                                <w:color w:val="000000"/>
                                <w:sz w:val="14"/>
                              </w:rPr>
                              <w:t>Austin</w:t>
                            </w:r>
                            <w:r>
                              <w:rPr>
                                <w:color w:val="000000"/>
                              </w:rPr>
                              <w:t xml:space="preserve"> • </w:t>
                            </w:r>
                            <w:r>
                              <w:rPr>
                                <w:rFonts w:ascii="Arial;sans-serif" w:hAnsi="Arial;sans-serif"/>
                                <w:b w:val="false"/>
                                <w:color w:val="000000"/>
                                <w:sz w:val="14"/>
                              </w:rPr>
                              <w:t>Century City</w:t>
                            </w:r>
                            <w:r>
                              <w:rPr>
                                <w:color w:val="000000"/>
                              </w:rPr>
                              <w:t xml:space="preserve"> • </w:t>
                            </w:r>
                            <w:r>
                              <w:rPr>
                                <w:rFonts w:ascii="Arial;sans-serif" w:hAnsi="Arial;sans-serif"/>
                                <w:b w:val="false"/>
                                <w:color w:val="000000"/>
                                <w:sz w:val="14"/>
                              </w:rPr>
                              <w:t>Dallas</w:t>
                            </w:r>
                            <w:r>
                              <w:rPr>
                                <w:color w:val="000000"/>
                              </w:rPr>
                              <w:t xml:space="preserve"> • </w:t>
                            </w:r>
                            <w:r>
                              <w:rPr>
                                <w:rFonts w:ascii="Arial;sans-serif" w:hAnsi="Arial;sans-serif"/>
                                <w:b w:val="false"/>
                                <w:color w:val="000000"/>
                                <w:sz w:val="14"/>
                              </w:rPr>
                              <w:t>Houston</w:t>
                            </w:r>
                            <w:r>
                              <w:rPr>
                                <w:color w:val="000000"/>
                              </w:rPr>
                              <w:t xml:space="preserve"> • </w:t>
                            </w:r>
                            <w:r>
                              <w:rPr>
                                <w:rFonts w:ascii="Arial;sans-serif" w:hAnsi="Arial;sans-serif"/>
                                <w:b w:val="false"/>
                                <w:color w:val="000000"/>
                                <w:sz w:val="14"/>
                              </w:rPr>
                              <w:t>Los Angeles</w:t>
                            </w:r>
                            <w:r>
                              <w:rPr>
                                <w:color w:val="000000"/>
                              </w:rPr>
                              <w:t xml:space="preserve"> • </w:t>
                            </w:r>
                            <w:r>
                              <w:rPr>
                                <w:rFonts w:ascii="Arial;sans-serif" w:hAnsi="Arial;sans-serif"/>
                                <w:b w:val="false"/>
                                <w:color w:val="000000"/>
                                <w:sz w:val="14"/>
                              </w:rPr>
                              <w:t>Newport Beach</w:t>
                            </w:r>
                            <w:r>
                              <w:rPr>
                                <w:color w:val="000000"/>
                              </w:rPr>
                              <w:t xml:space="preserve"> • </w:t>
                            </w:r>
                            <w:r>
                              <w:rPr>
                                <w:rFonts w:ascii="Arial;sans-serif" w:hAnsi="Arial;sans-serif"/>
                                <w:b w:val="false"/>
                                <w:color w:val="000000"/>
                                <w:sz w:val="14"/>
                              </w:rPr>
                              <w:t>New York</w:t>
                            </w:r>
                            <w:r>
                              <w:rPr>
                                <w:color w:val="000000"/>
                              </w:rPr>
                              <w:t xml:space="preserve"> • </w:t>
                            </w:r>
                            <w:r>
                              <w:rPr>
                                <w:rFonts w:ascii="Arial;sans-serif" w:hAnsi="Arial;sans-serif"/>
                                <w:b w:val="false"/>
                                <w:color w:val="000000"/>
                                <w:sz w:val="14"/>
                              </w:rPr>
                              <w:t>San Francisco</w:t>
                            </w:r>
                            <w:r>
                              <w:rPr>
                                <w:color w:val="000000"/>
                              </w:rPr>
                              <w:t xml:space="preserve"> • </w:t>
                            </w:r>
                            <w:r>
                              <w:rPr>
                                <w:rFonts w:ascii="Arial;sans-serif" w:hAnsi="Arial;sans-serif"/>
                                <w:b w:val="false"/>
                                <w:color w:val="000000"/>
                                <w:sz w:val="14"/>
                              </w:rPr>
                              <w:t>Silicon Valley</w:t>
                            </w:r>
                            <w:r>
                              <w:rPr>
                                <w:color w:val="000000"/>
                              </w:rPr>
                              <w:t xml:space="preserve"> • </w:t>
                            </w:r>
                            <w:r>
                              <w:rPr>
                                <w:rFonts w:ascii="Arial;sans-serif" w:hAnsi="Arial;sans-serif"/>
                                <w:b w:val="false"/>
                                <w:color w:val="000000"/>
                                <w:sz w:val="14"/>
                              </w:rPr>
                              <w:t>Washington, DC</w:t>
                            </w:r>
                            <w:r>
                              <w:br w:type="page"/>
                            </w:r>
                          </w:p>
                          <w:p>
                            <w:pPr>
                              <w:pStyle w:val="TextBody"/>
                              <w:bidi w:val="0"/>
                              <w:spacing w:lineRule="auto" w:line="288" w:before="0" w:after="0"/>
                              <w:jc w:val="center"/>
                              <w:rPr/>
                            </w:pPr>
                            <w:r>
                              <w:rPr>
                                <w:rFonts w:ascii="Arial;sans-serif" w:hAnsi="Arial;sans-serif"/>
                                <w:b w:val="false"/>
                                <w:color w:val="000000"/>
                                <w:sz w:val="14"/>
                              </w:rPr>
                              <w:t>Beijing</w:t>
                            </w:r>
                            <w:r>
                              <w:rPr>
                                <w:color w:val="000000"/>
                              </w:rPr>
                              <w:t xml:space="preserve"> • </w:t>
                            </w:r>
                            <w:r>
                              <w:rPr>
                                <w:rFonts w:ascii="Arial;sans-serif" w:hAnsi="Arial;sans-serif"/>
                                <w:b w:val="false"/>
                                <w:color w:val="000000"/>
                                <w:sz w:val="14"/>
                              </w:rPr>
                              <w:t>Brussels</w:t>
                            </w:r>
                            <w:r>
                              <w:rPr>
                                <w:color w:val="000000"/>
                              </w:rPr>
                              <w:t xml:space="preserve"> • </w:t>
                            </w:r>
                            <w:r>
                              <w:rPr>
                                <w:rFonts w:ascii="Arial;sans-serif" w:hAnsi="Arial;sans-serif"/>
                                <w:b w:val="false"/>
                                <w:color w:val="000000"/>
                                <w:sz w:val="14"/>
                              </w:rPr>
                              <w:t>Hong Kong</w:t>
                            </w:r>
                            <w:r>
                              <w:rPr>
                                <w:color w:val="000000"/>
                              </w:rPr>
                              <w:t xml:space="preserve"> • </w:t>
                            </w:r>
                            <w:r>
                              <w:rPr>
                                <w:rFonts w:ascii="Arial;sans-serif" w:hAnsi="Arial;sans-serif"/>
                                <w:b w:val="false"/>
                                <w:color w:val="000000"/>
                                <w:sz w:val="14"/>
                              </w:rPr>
                              <w:t>London</w:t>
                            </w:r>
                            <w:r>
                              <w:rPr>
                                <w:color w:val="000000"/>
                              </w:rPr>
                              <w:t xml:space="preserve"> • </w:t>
                            </w:r>
                            <w:r>
                              <w:rPr>
                                <w:rFonts w:ascii="Arial;sans-serif" w:hAnsi="Arial;sans-serif"/>
                                <w:b w:val="false"/>
                                <w:color w:val="000000"/>
                                <w:sz w:val="14"/>
                              </w:rPr>
                              <w:t>Seoul</w:t>
                            </w:r>
                            <w:r>
                              <w:rPr>
                                <w:color w:val="000000"/>
                              </w:rPr>
                              <w:t xml:space="preserve"> • </w:t>
                            </w:r>
                            <w:r>
                              <w:rPr>
                                <w:rFonts w:ascii="Arial;sans-serif" w:hAnsi="Arial;sans-serif"/>
                                <w:b w:val="false"/>
                                <w:color w:val="000000"/>
                                <w:sz w:val="14"/>
                              </w:rPr>
                              <w:t>Shanghai</w:t>
                            </w:r>
                            <w:r>
                              <w:rPr>
                                <w:color w:val="000000"/>
                              </w:rPr>
                              <w:t xml:space="preserve"> • </w:t>
                            </w:r>
                            <w:r>
                              <w:rPr>
                                <w:rFonts w:ascii="Arial;sans-serif" w:hAnsi="Arial;sans-serif"/>
                                <w:b w:val="false"/>
                                <w:color w:val="000000"/>
                                <w:sz w:val="14"/>
                              </w:rPr>
                              <w:t xml:space="preserve">Singapore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pPr>
                      <w:r>
                        <w:rPr>
                          <w:rFonts w:ascii="Arial;sans-serif" w:hAnsi="Arial;sans-serif"/>
                          <w:b w:val="false"/>
                          <w:color w:val="000000"/>
                          <w:sz w:val="14"/>
                        </w:rPr>
                        <w:t>Austin</w:t>
                      </w:r>
                      <w:r>
                        <w:rPr>
                          <w:color w:val="000000"/>
                        </w:rPr>
                        <w:t xml:space="preserve"> • </w:t>
                      </w:r>
                      <w:r>
                        <w:rPr>
                          <w:rFonts w:ascii="Arial;sans-serif" w:hAnsi="Arial;sans-serif"/>
                          <w:b w:val="false"/>
                          <w:color w:val="000000"/>
                          <w:sz w:val="14"/>
                        </w:rPr>
                        <w:t>Century City</w:t>
                      </w:r>
                      <w:r>
                        <w:rPr>
                          <w:color w:val="000000"/>
                        </w:rPr>
                        <w:t xml:space="preserve"> • </w:t>
                      </w:r>
                      <w:r>
                        <w:rPr>
                          <w:rFonts w:ascii="Arial;sans-serif" w:hAnsi="Arial;sans-serif"/>
                          <w:b w:val="false"/>
                          <w:color w:val="000000"/>
                          <w:sz w:val="14"/>
                        </w:rPr>
                        <w:t>Dallas</w:t>
                      </w:r>
                      <w:r>
                        <w:rPr>
                          <w:color w:val="000000"/>
                        </w:rPr>
                        <w:t xml:space="preserve"> • </w:t>
                      </w:r>
                      <w:r>
                        <w:rPr>
                          <w:rFonts w:ascii="Arial;sans-serif" w:hAnsi="Arial;sans-serif"/>
                          <w:b w:val="false"/>
                          <w:color w:val="000000"/>
                          <w:sz w:val="14"/>
                        </w:rPr>
                        <w:t>Houston</w:t>
                      </w:r>
                      <w:r>
                        <w:rPr>
                          <w:color w:val="000000"/>
                        </w:rPr>
                        <w:t xml:space="preserve"> • </w:t>
                      </w:r>
                      <w:r>
                        <w:rPr>
                          <w:rFonts w:ascii="Arial;sans-serif" w:hAnsi="Arial;sans-serif"/>
                          <w:b w:val="false"/>
                          <w:color w:val="000000"/>
                          <w:sz w:val="14"/>
                        </w:rPr>
                        <w:t>Los Angeles</w:t>
                      </w:r>
                      <w:r>
                        <w:rPr>
                          <w:color w:val="000000"/>
                        </w:rPr>
                        <w:t xml:space="preserve"> • </w:t>
                      </w:r>
                      <w:r>
                        <w:rPr>
                          <w:rFonts w:ascii="Arial;sans-serif" w:hAnsi="Arial;sans-serif"/>
                          <w:b w:val="false"/>
                          <w:color w:val="000000"/>
                          <w:sz w:val="14"/>
                        </w:rPr>
                        <w:t>Newport Beach</w:t>
                      </w:r>
                      <w:r>
                        <w:rPr>
                          <w:color w:val="000000"/>
                        </w:rPr>
                        <w:t xml:space="preserve"> • </w:t>
                      </w:r>
                      <w:r>
                        <w:rPr>
                          <w:rFonts w:ascii="Arial;sans-serif" w:hAnsi="Arial;sans-serif"/>
                          <w:b w:val="false"/>
                          <w:color w:val="000000"/>
                          <w:sz w:val="14"/>
                        </w:rPr>
                        <w:t>New York</w:t>
                      </w:r>
                      <w:r>
                        <w:rPr>
                          <w:color w:val="000000"/>
                        </w:rPr>
                        <w:t xml:space="preserve"> • </w:t>
                      </w:r>
                      <w:r>
                        <w:rPr>
                          <w:rFonts w:ascii="Arial;sans-serif" w:hAnsi="Arial;sans-serif"/>
                          <w:b w:val="false"/>
                          <w:color w:val="000000"/>
                          <w:sz w:val="14"/>
                        </w:rPr>
                        <w:t>San Francisco</w:t>
                      </w:r>
                      <w:r>
                        <w:rPr>
                          <w:color w:val="000000"/>
                        </w:rPr>
                        <w:t xml:space="preserve"> • </w:t>
                      </w:r>
                      <w:r>
                        <w:rPr>
                          <w:rFonts w:ascii="Arial;sans-serif" w:hAnsi="Arial;sans-serif"/>
                          <w:b w:val="false"/>
                          <w:color w:val="000000"/>
                          <w:sz w:val="14"/>
                        </w:rPr>
                        <w:t>Silicon Valley</w:t>
                      </w:r>
                      <w:r>
                        <w:rPr>
                          <w:color w:val="000000"/>
                        </w:rPr>
                        <w:t xml:space="preserve"> • </w:t>
                      </w:r>
                      <w:r>
                        <w:rPr>
                          <w:rFonts w:ascii="Arial;sans-serif" w:hAnsi="Arial;sans-serif"/>
                          <w:b w:val="false"/>
                          <w:color w:val="000000"/>
                          <w:sz w:val="14"/>
                        </w:rPr>
                        <w:t>Washington, DC</w:t>
                      </w:r>
                    </w:p>
                    <w:p>
                      <w:pPr>
                        <w:pStyle w:val="TextBody"/>
                        <w:bidi w:val="0"/>
                        <w:spacing w:lineRule="auto" w:line="288" w:before="0" w:after="0"/>
                        <w:jc w:val="center"/>
                        <w:rPr/>
                      </w:pPr>
                      <w:r>
                        <w:rPr>
                          <w:rFonts w:ascii="Arial;sans-serif" w:hAnsi="Arial;sans-serif"/>
                          <w:b w:val="false"/>
                          <w:color w:val="000000"/>
                          <w:sz w:val="14"/>
                        </w:rPr>
                        <w:t>Beijing</w:t>
                      </w:r>
                      <w:r>
                        <w:rPr>
                          <w:color w:val="000000"/>
                        </w:rPr>
                        <w:t xml:space="preserve"> • </w:t>
                      </w:r>
                      <w:r>
                        <w:rPr>
                          <w:rFonts w:ascii="Arial;sans-serif" w:hAnsi="Arial;sans-serif"/>
                          <w:b w:val="false"/>
                          <w:color w:val="000000"/>
                          <w:sz w:val="14"/>
                        </w:rPr>
                        <w:t>Brussels</w:t>
                      </w:r>
                      <w:r>
                        <w:rPr>
                          <w:color w:val="000000"/>
                        </w:rPr>
                        <w:t xml:space="preserve"> • </w:t>
                      </w:r>
                      <w:r>
                        <w:rPr>
                          <w:rFonts w:ascii="Arial;sans-serif" w:hAnsi="Arial;sans-serif"/>
                          <w:b w:val="false"/>
                          <w:color w:val="000000"/>
                          <w:sz w:val="14"/>
                        </w:rPr>
                        <w:t>Hong Kong</w:t>
                      </w:r>
                      <w:r>
                        <w:rPr>
                          <w:color w:val="000000"/>
                        </w:rPr>
                        <w:t xml:space="preserve"> • </w:t>
                      </w:r>
                      <w:r>
                        <w:rPr>
                          <w:rFonts w:ascii="Arial;sans-serif" w:hAnsi="Arial;sans-serif"/>
                          <w:b w:val="false"/>
                          <w:color w:val="000000"/>
                          <w:sz w:val="14"/>
                        </w:rPr>
                        <w:t>London</w:t>
                      </w:r>
                      <w:r>
                        <w:rPr>
                          <w:color w:val="000000"/>
                        </w:rPr>
                        <w:t xml:space="preserve"> • </w:t>
                      </w:r>
                      <w:r>
                        <w:rPr>
                          <w:rFonts w:ascii="Arial;sans-serif" w:hAnsi="Arial;sans-serif"/>
                          <w:b w:val="false"/>
                          <w:color w:val="000000"/>
                          <w:sz w:val="14"/>
                        </w:rPr>
                        <w:t>Seoul</w:t>
                      </w:r>
                      <w:r>
                        <w:rPr>
                          <w:color w:val="000000"/>
                        </w:rPr>
                        <w:t xml:space="preserve"> • </w:t>
                      </w:r>
                      <w:r>
                        <w:rPr>
                          <w:rFonts w:ascii="Arial;sans-serif" w:hAnsi="Arial;sans-serif"/>
                          <w:b w:val="false"/>
                          <w:color w:val="000000"/>
                          <w:sz w:val="14"/>
                        </w:rPr>
                        <w:t>Shanghai</w:t>
                      </w:r>
                      <w:r>
                        <w:rPr>
                          <w:color w:val="000000"/>
                        </w:rPr>
                        <w:t xml:space="preserve"> • </w:t>
                      </w:r>
                      <w:r>
                        <w:rPr>
                          <w:rFonts w:ascii="Arial;sans-serif" w:hAnsi="Arial;sans-serif"/>
                          <w:b w:val="false"/>
                          <w:color w:val="000000"/>
                          <w:sz w:val="14"/>
                        </w:rPr>
                        <w:t xml:space="preserve">Singapore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(vi) resolutions of the Board of Directors and the Audit Committee of the Company adopted on September 17, 2026 relating to the offering and sale of the Shares and related matters. </w:t>
      </w:r>
    </w:p>
    <w:p>
      <w:pPr>
        <w:pStyle w:val="TextBody"/>
        <w:bidi w:val="0"/>
        <w:spacing w:before="0" w:after="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assumed the genuineness of all signatures, the authenticity of all documents submitted to us as originals and the conformity with originals of all documents submitted to us as copies. </w:t>
      </w:r>
    </w:p>
    <w:p>
      <w:pPr>
        <w:pStyle w:val="TextBody"/>
        <w:bidi w:val="0"/>
        <w:spacing w:before="0" w:after="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on this examination, our reliance upon the assumptions in this letter and our consideration of those questions of law we considered relevant, and subject to the limitations and qualifications in this letter, we are of the opinion that the issuance and sale of the Shares have been duly authorized by all necessary corporate action on the part of the Company, and upon payment for and delivery of the Shares in accordance with the Securities Purchase Agreement, the Shares will be validly issued, fully paid and non-assessable.</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law covered by this letter is limited to the present General Corporation Law of the State of Delaware. We express no opinion as to the laws of any other jurisdiction and no opinion regarding the statutes, administrative decisions, rules, regulations or requirements of any county, municipality, subdivision or local authority of any jurisdiction.</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letter is being furnished in accordance with the requirements of Item 601(b)(5) of Regulation S-K promulgated under the Securities Act, and no opinion is expressed herein as to any matter pertaining to the contents of the Registration Statement, the prospectus included in the Registration Statement or any prospectus supplement, other than as expressly stated herein with respect to the Shares. This letter is expressly limited to the matters set forth above, and we render no opinion, whether by implication or otherwise, as to any other matters. This letter speaks only as of the date hereof and we assume no obligation to update or supplement this letter to reflect any facts or circumstances that arise after the date hereof and come to our attention or any future changes in laws.</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hereby consent to the incorporation by reference of this letter as Exhibit 5.1 to the Company’s Current Report on Form 8-K, filed on or about the date hereof, for incorporation by reference into the Registration Statement and to the reference to this firm under the heading “Legal Matters” in the Registration Statement and related prospectus.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Respectfully submitted,</w:t>
      </w:r>
    </w:p>
    <w:p>
      <w:pPr>
        <w:pStyle w:val="TextBody"/>
        <w:bidi w:val="0"/>
        <w:spacing w:before="0" w:after="0"/>
        <w:ind w:left="0" w:right="0" w:firstLine="720"/>
        <w:jc w:val="both"/>
        <w:rPr/>
      </w:pPr>
      <w:r>
        <w:rPr/>
      </w:r>
    </w:p>
    <w:p>
      <w:pPr>
        <w:pStyle w:val="TextBody"/>
        <w:bidi w:val="0"/>
        <w:spacing w:lineRule="auto" w:line="304"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O'Melveny &amp; Myers LLP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Certain confidential information contained in this document, marked by [* * *], has been omitted pursuant to Item 601 (b)(10)(iv) of Regulation S-K because it is both (i) not material and (ii) the type of information that the registrant treats as private or confidential.</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SECURITIES PURCHASE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4"/>
        </w:rPr>
        <w:t xml:space="preserve">This Securities Purchase Agreement (this “Agreement”) is dated as of September 17, 2026, between CapsoVision, Inc., a Delaware corporation (the “Company”), and the purchasers whose names and addresses are set forth on the signature pages hereof (each a “Purchaser” and collectively, the “Purchasers”).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subject to the terms and conditions set forth in this Agreement and pursuant to an effective registration statement under the Securities Act of 1933, as amended (the “Securities Act”), the Purchasers desire to purchase, severally and not jointly, and the Company has agreed to sell, 3,163,444 shares (the “Common Shares”) of the Company’s common stock, par value $0.001 per share (the “Common Stock”) at a purchase price of $5.69 per share (such price being equal to the lower of (a) 95% of the closing price of $5.99 per share of the Common Stock on the Trading Market on September 16, 2026 and (b) 95% of the average closing price of the Common Stock on the Trading Market for the thirty (30) consecutive Trading Days ending on and including September 16, 2026).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in this Agreement, and for other good and valuable consideration the receipt and adequacy of which are hereby acknowledged, the Company and the Purchasers agree, severally and not jointly, as follows:</w:t>
      </w:r>
    </w:p>
    <w:p>
      <w:pPr>
        <w:pStyle w:val="TextBody"/>
        <w:bidi w:val="0"/>
        <w:spacing w:before="0" w:after="240"/>
        <w:ind w:left="0" w:right="0" w:firstLine="720"/>
        <w:jc w:val="left"/>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Definitions.</w:t>
      </w:r>
      <w:r>
        <w:rPr>
          <w:color w:val="000000"/>
        </w:rPr>
        <w:t xml:space="preserve"> </w:t>
      </w:r>
      <w:r>
        <w:rPr>
          <w:rFonts w:ascii="Times New Roman;serif" w:hAnsi="Times New Roman;serif"/>
          <w:b w:val="false"/>
          <w:color w:val="000000"/>
          <w:sz w:val="24"/>
        </w:rPr>
        <w:t xml:space="preserve">In addition to the terms defined elsewhere in this Agreement, for all purposes of this Agreement, the following terms have the meanings set forth in this </w:t>
      </w:r>
      <w:r>
        <w:rPr>
          <w:rFonts w:ascii="Times New Roman;serif" w:hAnsi="Times New Roman;serif"/>
          <w:b w:val="false"/>
          <w:color w:val="000000"/>
          <w:sz w:val="24"/>
          <w:u w:val="single"/>
        </w:rPr>
        <w:t>Section 1.1</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68" w:before="0" w:after="0"/>
        <w:ind w:left="0" w:right="0" w:firstLine="720"/>
        <w:jc w:val="both"/>
        <w:rPr/>
      </w:pPr>
      <w:r>
        <w:rPr>
          <w:color w:val="000000"/>
        </w:rPr>
        <w:t>“</w:t>
      </w:r>
      <w:r>
        <w:rPr>
          <w:rFonts w:ascii="Times New Roman;serif" w:hAnsi="Times New Roman;serif"/>
          <w:b w:val="false"/>
          <w:color w:val="000000"/>
          <w:sz w:val="24"/>
          <w:u w:val="single"/>
        </w:rPr>
        <w:t>Action</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3.1(l)</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Base Prospectus</w:t>
      </w:r>
      <w:r>
        <w:rPr>
          <w:color w:val="000000"/>
        </w:rPr>
        <w:t xml:space="preserve">” </w:t>
      </w:r>
      <w:r>
        <w:rPr>
          <w:rFonts w:ascii="Times New Roman;serif" w:hAnsi="Times New Roman;serif"/>
          <w:b w:val="false"/>
          <w:color w:val="000000"/>
          <w:sz w:val="24"/>
        </w:rPr>
        <w:t>means the final base prospectus included in the Registration Statement at the time of effectiveness.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except any Saturday, any Sunday, any day which is a federal legal holiday in the United States or any day on which the Trading Market and banking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institutions in the State of New York are authorized or required by law or other governmental action to close.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means the closing of the purchase and sale of the Common Shares pursuant to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xml:space="preserve">  </w:t>
      </w:r>
    </w:p>
    <w:p>
      <w:pPr>
        <w:pStyle w:val="TextBody"/>
        <w:bidi w:val="0"/>
        <w:spacing w:lineRule="auto" w:line="268" w:before="0" w:after="0"/>
        <w:ind w:left="0" w:right="0" w:firstLine="1440"/>
        <w:jc w:val="left"/>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the Trading Day agreed to between the parties; provided all conditions precedent to (i) the Purchaser’s obligations to pay the Subscription Amount and (ii) the Company’s obligations to deliver the Common Shares, in each case, have been satisfied or waived.</w:t>
      </w:r>
    </w:p>
    <w:p>
      <w:pPr>
        <w:pStyle w:val="TextBody"/>
        <w:bidi w:val="0"/>
        <w:spacing w:before="0" w:after="0"/>
        <w:jc w:val="left"/>
        <w:rPr/>
      </w:pPr>
      <w:r>
        <w:rPr/>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Commission</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FINRA</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3.1(e).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shd w:fill="FFFFFF" w:val="clear"/>
        </w:rPr>
        <w:t>U.S. generally accepted accounting principles applied on a consistent basis during the periods involved</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3.1(n).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a lien, charge, pledge, security interest, encumbrance, right of first refusal, preemptive right or other restriction.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 xml:space="preserve">shall have the meaning assigned to such term in </w:t>
      </w:r>
      <w:r>
        <w:rPr>
          <w:rFonts w:ascii="Times New Roman;serif" w:hAnsi="Times New Roman;serif"/>
          <w:b w:val="false"/>
          <w:color w:val="000000"/>
          <w:sz w:val="24"/>
          <w:u w:val="single"/>
        </w:rPr>
        <w:t>Section 3.1(b)</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means an action, claim, suit, investigation or proceeding (including, without limitation, an informal investigation or partial proceeding, such as a deposition), whether commenced or threatened.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Prospectus Supplement</w:t>
      </w:r>
      <w:r>
        <w:rPr>
          <w:color w:val="000000"/>
        </w:rPr>
        <w:t xml:space="preserve">” </w:t>
      </w:r>
      <w:r>
        <w:rPr>
          <w:rFonts w:ascii="Times New Roman;serif" w:hAnsi="Times New Roman;serif"/>
          <w:b w:val="false"/>
          <w:color w:val="000000"/>
          <w:sz w:val="24"/>
        </w:rPr>
        <w:t>means the supplement to the Base Prospectus complying with Rule 424(b) of the Securities Act that is filed with the Commission and delivered by the Company to the Purchasers on or prior to Closing, relating to the offer and sale of the Common Shares to the Purchasers.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means $5.69 per Common Share (such price being equal to the lower of (a) 95% of the closing price of $5.99 per share of the Common Stock on the Trading Market on September 16, 2026 and (b) 95% of the average closing price of the Common Stock on the Trading Market for the thirty (30) consecutive Trading Days ending on and including September 16, 2026), subject to adjustment for reverse and forward stock splits, stock dividends, stock combinations and other similar transactions of the Common Stock that occur after the date of this Agreement and prior to Closing. </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color w:val="000000"/>
        </w:rPr>
        <w:t>“</w:t>
      </w:r>
      <w:r>
        <w:rPr>
          <w:rFonts w:ascii="Times New Roman;serif" w:hAnsi="Times New Roman;serif"/>
          <w:b w:val="false"/>
          <w:color w:val="000000"/>
          <w:sz w:val="24"/>
          <w:u w:val="single"/>
        </w:rPr>
        <w:t>Registration Statement</w:t>
      </w:r>
      <w:r>
        <w:rPr>
          <w:color w:val="000000"/>
        </w:rPr>
        <w:t xml:space="preserve">” </w:t>
      </w:r>
      <w:r>
        <w:rPr>
          <w:rFonts w:ascii="Times New Roman;serif" w:hAnsi="Times New Roman;serif"/>
          <w:b w:val="false"/>
          <w:color w:val="000000"/>
          <w:sz w:val="24"/>
        </w:rPr>
        <w:t xml:space="preserve">means the effective registration statement on Form S-3 filed with the Commission (File No. 333-298315) pursuant to the Securities Act on August 13, 2026, which became effective on August 21, 2026, relating to the offer and sale from time to time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68880"/>
                <wp:effectExtent l="0" t="0" r="0" b="0"/>
                <wp:wrapNone/>
                <wp:docPr id="8" name="Frame7"/>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Company’s securities, including the Common Shares, including amendments, exhibits, schedules and documents incorporated or deemed to be incorporated by reference therein and the documents otherwise deemed to be a part thereof pursuant to Rule 430A or 430B under the Securities Act.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Required Approvals</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3.1(e)</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Rule 424</w:t>
      </w:r>
      <w:r>
        <w:rPr>
          <w:color w:val="000000"/>
        </w:rPr>
        <w:t xml:space="preserve">” </w:t>
      </w:r>
      <w:r>
        <w:rPr>
          <w:rFonts w:ascii="Times New Roman;serif" w:hAnsi="Times New Roman;serif"/>
          <w:b w:val="false"/>
          <w:color w:val="000000"/>
          <w:sz w:val="24"/>
        </w:rPr>
        <w:t>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SEC Reports</w:t>
      </w:r>
      <w:r>
        <w:rPr>
          <w:color w:val="000000"/>
        </w:rPr>
        <w:t xml:space="preserve">” </w:t>
      </w:r>
      <w:r>
        <w:rPr>
          <w:rFonts w:ascii="Times New Roman;serif" w:hAnsi="Times New Roman;serif"/>
          <w:b w:val="false"/>
          <w:color w:val="000000"/>
          <w:sz w:val="24"/>
        </w:rPr>
        <w:t xml:space="preserve">shall have the meaning ascribed to such term in </w:t>
      </w:r>
      <w:r>
        <w:rPr>
          <w:rFonts w:ascii="Times New Roman;serif" w:hAnsi="Times New Roman;serif"/>
          <w:b w:val="false"/>
          <w:color w:val="000000"/>
          <w:sz w:val="24"/>
          <w:u w:val="single"/>
        </w:rPr>
        <w:t>Section 3.1(i)</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Subscription Amount</w:t>
      </w:r>
      <w:r>
        <w:rPr>
          <w:color w:val="000000"/>
        </w:rPr>
        <w:t xml:space="preserve">” </w:t>
      </w:r>
      <w:r>
        <w:rPr>
          <w:rFonts w:ascii="Times New Roman;serif" w:hAnsi="Times New Roman;serif"/>
          <w:b w:val="false"/>
          <w:color w:val="000000"/>
          <w:sz w:val="24"/>
        </w:rPr>
        <w:t>means the aggregate amount to be paid by a Purchaser to the Company for the Common Shares pursuant to the terms and conditions of this Agreement calculated by multiplying the number of Common Shares purchased by a Purchaser by the Purchase Price.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principal Trading Market is open for trading.</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Trading Market</w:t>
      </w:r>
      <w:r>
        <w:rPr>
          <w:color w:val="000000"/>
        </w:rPr>
        <w:t xml:space="preserve">” </w:t>
      </w:r>
      <w:r>
        <w:rPr>
          <w:rFonts w:ascii="Times New Roman;serif" w:hAnsi="Times New Roman;serif"/>
          <w:b w:val="false"/>
          <w:color w:val="000000"/>
          <w:sz w:val="24"/>
        </w:rPr>
        <w:t>means The Nasdaq Capital Market (or any successors thereto).</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color w:val="000000"/>
        </w:rPr>
        <w:t>“</w:t>
      </w:r>
      <w:r>
        <w:rPr>
          <w:rFonts w:ascii="Times New Roman;serif" w:hAnsi="Times New Roman;serif"/>
          <w:b w:val="false"/>
          <w:color w:val="000000"/>
          <w:sz w:val="24"/>
          <w:u w:val="single"/>
        </w:rPr>
        <w:t>Transfer Agent</w:t>
      </w:r>
      <w:r>
        <w:rPr>
          <w:color w:val="000000"/>
        </w:rPr>
        <w:t xml:space="preserve">” </w:t>
      </w:r>
      <w:r>
        <w:rPr>
          <w:rFonts w:ascii="Times New Roman;serif" w:hAnsi="Times New Roman;serif"/>
          <w:b w:val="false"/>
          <w:color w:val="000000"/>
          <w:sz w:val="24"/>
        </w:rPr>
        <w:t>means Computershare Trust Company, N.A., and any successor transfer agent of the Company.</w:t>
      </w:r>
    </w:p>
    <w:p>
      <w:pPr>
        <w:pStyle w:val="TextBody"/>
        <w:bidi w:val="0"/>
        <w:spacing w:lineRule="auto" w:line="268" w:before="0" w:after="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68" w:before="0" w:after="0"/>
        <w:ind w:left="0" w:right="0" w:firstLine="720"/>
        <w:jc w:val="center"/>
        <w:rPr/>
      </w:pPr>
      <w:r>
        <w:rPr>
          <w:rFonts w:ascii="Times New Roman;serif" w:hAnsi="Times New Roman;serif"/>
          <w:b w:val="false"/>
          <w:color w:val="000000"/>
          <w:sz w:val="24"/>
        </w:rPr>
        <w:t>PURCHASE AND SAL</w:t>
      </w:r>
      <w:r>
        <w:rPr>
          <w:rFonts w:ascii="Times New Roman;serif" w:hAnsi="Times New Roman;serif"/>
          <w:b w:val="false"/>
          <w:color w:val="000000"/>
          <w:sz w:val="20"/>
        </w:rPr>
        <w: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Closing</w:t>
      </w:r>
      <w:r>
        <w:rPr>
          <w:rFonts w:ascii="Times New Roman;serif" w:hAnsi="Times New Roman;serif"/>
          <w:b w:val="false"/>
          <w:color w:val="000000"/>
          <w:sz w:val="24"/>
        </w:rPr>
        <w:t xml:space="preserve">. On the Closing Date, upon the terms and subject to the conditions set forth herein, the Company agrees to sell, and each Purchaser agrees, severally and not jointly, to purchase, the number of Common Shares set forth under “Number of Common Shares” on the Purchaser’s signature page hereto at the Purchase Price. The Subscription Amount shall be made available for “Delivery Versus Payment” settlement with the Company or its designee. The Company and each Purchaser shall deliver the items set forth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deliverable at the Closing. Upon satisfaction of the covenants and conditions set forth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2.3</w:t>
      </w:r>
      <w:r>
        <w:rPr>
          <w:rFonts w:ascii="Times New Roman;serif" w:hAnsi="Times New Roman;serif"/>
          <w:b w:val="false"/>
          <w:color w:val="000000"/>
          <w:sz w:val="24"/>
        </w:rPr>
        <w:t>, the Closing shall occur remotely as the parties shall mutually agree. Payment of the Subscription Amount for the Common Shares shall be made by each Purchaser to the Company by wire transfer of immediately available funds to a bank account designated by the Company against delivery to such Purchaser of the Common Shares registered in the Purchaser’s name and address or as otherwise directed to be registered by the Purchaser, including but not limited to delivery through the facilities of The Depository Trust Company’s Deposit or Withdrawal at Custodian system.</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4"/>
        </w:rPr>
        <w:t>2.2            </w:t>
      </w:r>
      <w:r>
        <w:rPr>
          <w:rFonts w:ascii="Times New Roman;serif" w:hAnsi="Times New Roman;serif"/>
          <w:b w:val="false"/>
          <w:color w:val="000000"/>
          <w:sz w:val="24"/>
          <w:u w:val="single"/>
        </w:rPr>
        <w:t>Deliveries</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 or prior to the Closing Date, the Company shall deliver or cause to be delivered to each Purchaser the following:</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this Agreement duly executed by the Company;</w:t>
      </w:r>
    </w:p>
    <w:p>
      <w:pPr>
        <w:pStyle w:val="TextBody"/>
        <w:bidi w:val="0"/>
        <w:spacing w:lineRule="auto" w:line="268"/>
        <w:jc w:val="left"/>
        <w:rPr>
          <w:color w:val="000000"/>
        </w:rPr>
      </w:pPr>
      <w:r>
        <w:rPr>
          <w:color w:val="000000"/>
        </w:rPr>
        <w:t> </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68880"/>
                <wp:effectExtent l="0" t="0" r="0" b="0"/>
                <wp:wrapNone/>
                <wp:docPr id="9" name="Frame8"/>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Prospectus Supplement;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 copy of the executed irrevocable instructions to the Transfer Agent instructing the Transfer Agent to deliver the Common Shares, registered in the name of such Purchaser or such other registration information as directed by such Purchaser;</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the Company’s wire instructions; and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the Common Shares (subject to receipt of the Subscription Amount).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On or prior to the Closing Date, each Purchaser shall deliver or cause to be delivered to the Company, the following:</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this Agreement duly executed by such Purchaser; and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Subscription Amount, with respect to the Common Shares purchased by such Purchaser, which shall be made available for “Delivery Versus Payment” settlement with the Company or its designee or such other settlement method as the Company and such Purchaser may mutually agree to.</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Closing Conditions</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obligations of the Company hereunder in connection with the Closing are subject to the following conditions being met: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accuracy in all material respects (or, to the extent representations or warranties are qualified by materiality or Material Adverse Effect, in all respects) on the Closing Date of the representations and warranties of such Purchaser contained herein (unless as of a specific date therein in which case they shall be accurate as of such date);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all obligations, covenants and agreements of such Purchaser required to be performed at or prior to the Closing Date shall have been performed; and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pPr>
      <w:r>
        <w:rPr>
          <w:rFonts w:ascii="Times New Roman;serif" w:hAnsi="Times New Roman;serif"/>
          <w:b w:val="false"/>
          <w:color w:val="000000"/>
          <w:sz w:val="24"/>
        </w:rPr>
        <w:t xml:space="preserve">(iii)         the delivery by such Purchaser of the items set forth in </w:t>
      </w:r>
      <w:r>
        <w:rPr>
          <w:rFonts w:ascii="Times New Roman;serif" w:hAnsi="Times New Roman;serif"/>
          <w:b w:val="false"/>
          <w:color w:val="000000"/>
          <w:sz w:val="24"/>
          <w:u w:val="single"/>
        </w:rPr>
        <w:t>Section 2.2(b)</w:t>
      </w:r>
      <w:r>
        <w:rPr>
          <w:color w:val="000000"/>
        </w:rPr>
        <w:t> </w:t>
      </w:r>
      <w:r>
        <w:rPr>
          <w:rFonts w:ascii="Times New Roman;serif" w:hAnsi="Times New Roman;serif"/>
          <w:b w:val="false"/>
          <w:color w:val="000000"/>
          <w:sz w:val="24"/>
        </w:rPr>
        <w:t>of this Agreement.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obligations of each Purchaser hereunder in connection with the Closing are subject to the following conditions being met: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all obligations, covenants and agreements of the Company required to be performed at or prior to the Closing Date shall have been performed;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pPr>
      <w:r>
        <w:rPr>
          <w:rFonts w:ascii="Times New Roman;serif" w:hAnsi="Times New Roman;serif"/>
          <w:b w:val="false"/>
          <w:color w:val="000000"/>
          <w:sz w:val="24"/>
        </w:rPr>
        <w:t xml:space="preserve">(iii)         the delivery by the Company of the items set forth in </w:t>
      </w:r>
      <w:r>
        <w:rPr>
          <w:rFonts w:ascii="Times New Roman;serif" w:hAnsi="Times New Roman;serif"/>
          <w:b w:val="false"/>
          <w:color w:val="000000"/>
          <w:sz w:val="24"/>
          <w:u w:val="single"/>
        </w:rPr>
        <w:t>Section 2.2(a)</w:t>
      </w:r>
      <w:r>
        <w:rPr>
          <w:color w:val="000000"/>
        </w:rPr>
        <w:t> </w:t>
      </w:r>
      <w:r>
        <w:rPr>
          <w:rFonts w:ascii="Times New Roman;serif" w:hAnsi="Times New Roman;serif"/>
          <w:b w:val="false"/>
          <w:color w:val="000000"/>
          <w:sz w:val="24"/>
        </w:rPr>
        <w:t>of this Agreement;</w:t>
      </w:r>
    </w:p>
    <w:p>
      <w:pPr>
        <w:pStyle w:val="TextBody"/>
        <w:bidi w:val="0"/>
        <w:spacing w:lineRule="auto" w:line="268"/>
        <w:jc w:val="left"/>
        <w:rPr>
          <w:color w:val="000000"/>
        </w:rPr>
      </w:pPr>
      <w:r>
        <w:rPr>
          <w:color w:val="000000"/>
        </w:rPr>
        <w:t>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68880"/>
                <wp:effectExtent l="0" t="0" r="0" b="0"/>
                <wp:wrapNone/>
                <wp:docPr id="10" name="Frame9"/>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there shall have been no Material Adverse Effect with respect to the Company since the date hereof, other than any effect disclosed in the SEC Reports, the Registration Statement or the Prospectus Supplement; and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no stop order or cease trade order suspending the effectiveness of the Registration Statement or any part thereof, preventing or suspending the use of the Base Prospectus or the Prospectus Supplement or any part thereof shall have been issued, and no proceedings for that purpose shall have been initiated or threatened.</w:t>
      </w:r>
    </w:p>
    <w:p>
      <w:pPr>
        <w:pStyle w:val="TextBody"/>
        <w:bidi w:val="0"/>
        <w:spacing w:lineRule="auto" w:line="268" w:before="0" w:after="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REPRESENTATIONS AND WARRANTIES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as of the date hereof and as of the Closing Date to each Purchaser as follows (unless as of a specific date therein, in which case they shall be accurate as of such date):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No Subsidiary</w:t>
      </w:r>
      <w:r>
        <w:rPr>
          <w:rFonts w:ascii="Times New Roman;serif" w:hAnsi="Times New Roman;serif"/>
          <w:b w:val="false"/>
          <w:color w:val="000000"/>
          <w:sz w:val="24"/>
        </w:rPr>
        <w:t>. The Company does not own or control, directly or indirectly, any corporation, association or other entity, which constitutes a “significant subsidiary” within the meaning of Rule 1-02 of Regulation S-X under the Exchange Act.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Organization and Qualification</w:t>
      </w:r>
      <w:r>
        <w:rPr>
          <w:rFonts w:ascii="Times New Roman;serif" w:hAnsi="Times New Roman;serif"/>
          <w:b w:val="false"/>
          <w:color w:val="000000"/>
          <w:sz w:val="24"/>
        </w:rPr>
        <w:t>. 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 in which it is engaged, except where the failure to be so qualified or in good standing or have such power or authority would not, individually or in the aggregate, have a material adverse effect on the business, properties, management, financial position, stockholders’ equity, results of operations of the Company or on the performance by the Company of its obligations under this Agreement (a “</w:t>
      </w:r>
      <w:r>
        <w:rPr>
          <w:rFonts w:ascii="Times New Roman;serif" w:hAnsi="Times New Roman;serif"/>
          <w:b w:val="false"/>
          <w:color w:val="000000"/>
          <w:sz w:val="24"/>
          <w:u w:val="single"/>
        </w:rPr>
        <w:t>Material Adverse Effect</w:t>
      </w:r>
      <w:r>
        <w:rPr>
          <w:color w:val="000000"/>
        </w:rPr>
        <w:t>”</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Authorization; Enforcement</w:t>
      </w:r>
      <w:r>
        <w:rPr>
          <w:rFonts w:ascii="Times New Roman;serif" w:hAnsi="Times New Roman;serif"/>
          <w:b w:val="false"/>
          <w:color w:val="000000"/>
          <w:sz w:val="24"/>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of Directors or the Company’s stockholders in connection herewith other than in connection with the Required Approvals. This Agreement has been (or upon delivery will have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 xml:space="preserve">(d) </w:t>
      </w:r>
      <w:r>
        <w:rPr>
          <w:rFonts w:ascii="Times New Roman;serif" w:hAnsi="Times New Roman;serif"/>
          <w:b w:val="false"/>
          <w:color w:val="000000"/>
          <w:sz w:val="24"/>
          <w:u w:val="single"/>
        </w:rPr>
        <w:t>No Conflicts</w:t>
      </w:r>
      <w:r>
        <w:rPr>
          <w:rFonts w:ascii="Times New Roman;serif" w:hAnsi="Times New Roman;serif"/>
          <w:b w:val="false"/>
          <w:color w:val="000000"/>
          <w:sz w:val="24"/>
        </w:rPr>
        <w:t xml:space="preserve">. The execution, delivery and performance by the Company of this Agreement, the issuance and sale of the Common Shares and the consummation by it of the transactions contemplated hereby do not and will not (i) conflict with or violate any provision of the Company’s certificate of incorporation, bylaws or other organizational or charter documents, or (ii) contravene or constitute a default (or an event that with notice or lapse of time or both would become a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68880"/>
                <wp:effectExtent l="0" t="0" r="0" b="0"/>
                <wp:wrapNone/>
                <wp:docPr id="11" name="Frame10"/>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default) under any agreement or other instrument binding upon the Company that is material to the Company, or result in the creation of any Lien upon any of the properties or assets of the Company or give to others any rights of termination, amendment, anti-dilution or similar adjustments, acceleration or cancellation (with or without notice, lapse of time or both), or (iii) subject to the Required Approvals, conflict with or result in a violation of any applicable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Filings, Consents and Approvals</w:t>
      </w:r>
      <w:r>
        <w:rPr>
          <w:rFonts w:ascii="Times New Roman;serif" w:hAnsi="Times New Roman;serif"/>
          <w:b w:val="false"/>
          <w:color w:val="000000"/>
          <w:sz w:val="24"/>
        </w:rPr>
        <w:t>. The Company is not required to obtain any consent, waiver, authorization or order of, give any notice to, or make any filing or registration with, any court or other federal, state, local or other governmental authority, or the Financial Industry Regulatory Authority (“</w:t>
      </w:r>
      <w:r>
        <w:rPr>
          <w:rFonts w:ascii="Times New Roman;serif" w:hAnsi="Times New Roman;serif"/>
          <w:b w:val="false"/>
          <w:color w:val="000000"/>
          <w:sz w:val="24"/>
          <w:u w:val="single"/>
        </w:rPr>
        <w:t>FINRA</w:t>
      </w:r>
      <w:r>
        <w:rPr>
          <w:color w:val="000000"/>
        </w:rPr>
        <w:t>”</w:t>
      </w:r>
      <w:r>
        <w:rPr>
          <w:rFonts w:ascii="Times New Roman;serif" w:hAnsi="Times New Roman;serif"/>
          <w:b w:val="false"/>
          <w:color w:val="000000"/>
          <w:sz w:val="24"/>
        </w:rPr>
        <w:t>), or other Person in connection with the execution, delivery and performance by the Company of this Agreement, other than: (i) the filing with the Commission of the Prospectus Supplement, (ii) such filings as are required to be made under applicable state securities laws and (iii) the filing with the Trading Market of a Listing of Additional Shares Notification (collectively, the “</w:t>
      </w:r>
      <w:r>
        <w:rPr>
          <w:rFonts w:ascii="Times New Roman;serif" w:hAnsi="Times New Roman;serif"/>
          <w:b w:val="false"/>
          <w:color w:val="000000"/>
          <w:sz w:val="24"/>
          <w:u w:val="single"/>
        </w:rPr>
        <w:t>Required Approvals</w:t>
      </w:r>
      <w:r>
        <w:rPr>
          <w:color w:val="000000"/>
        </w:rPr>
        <w:t>”</w:t>
      </w:r>
      <w:r>
        <w:rPr>
          <w:rFonts w:ascii="Times New Roman;serif" w:hAnsi="Times New Roman;serif"/>
          <w:b w:val="false"/>
          <w:color w:val="000000"/>
          <w:sz w:val="24"/>
        </w:rPr>
        <w: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Issuance of the Common Shares; Registration</w:t>
      </w:r>
      <w:r>
        <w:rPr>
          <w:rFonts w:ascii="Times New Roman;serif" w:hAnsi="Times New Roman;serif"/>
          <w:b w:val="false"/>
          <w:color w:val="000000"/>
          <w:sz w:val="24"/>
        </w:rPr>
        <w:t>. The Common Shares are duly authorized and, when issued and paid for in accordance with this Agreement, will be duly and validly issued, fully paid and non-assessable, free and clear of all Liens. The Company has prepared and filed the Registration Statement in conformity with the requirements of the Securities Act, including the Base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Supplement has been issued by the Commission and no proceedings for that purpose or pursuant to Section 8A under the Securities Act have been instituted or, to the knowledge of the Company, are threatened by the Commission. Promptly after execution and delivery of this Agreement, the Company shall file the Prospectus Supplement with the Commission pursuant to Rule 424(b) within the time period required under Rule 424(b), and in no event later than the Closing Date.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as of the date of the Prospectus Supplement or any amendment or supplement thereto and at the Closing Date, conformed and will conform in all material respects to the requirements of the Securities Act and the applicable rules and regulations of the Commission thereunder and did not and will not contain an untrue statement of a material fact or omit to state a material fact necessary in order to make the statements therein, in the light of the circumstances under which they were made, not misleading. Notwithstanding the foregoing, the Company makes no representation or warranty with respect to any statement contained in, or omitted from, the Registration Statement, the Base Prospectus or the Prospectus Supplement in reliance upon and in conformity with information furnished in writing to the Company by or on behalf of any Purchaser expressly for use therein.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Listing.</w:t>
      </w:r>
      <w:r>
        <w:rPr>
          <w:color w:val="000000"/>
        </w:rPr>
        <w:t xml:space="preserve"> </w:t>
      </w:r>
      <w:r>
        <w:rPr>
          <w:rFonts w:ascii="Times New Roman;serif" w:hAnsi="Times New Roman;serif"/>
          <w:b w:val="false"/>
          <w:color w:val="000000"/>
          <w:sz w:val="24"/>
        </w:rPr>
        <w:t>The Company has filed a Listing of Additional Shares Notification with the Trading Market with respect to the Common Shares.</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Capitalization</w:t>
      </w:r>
      <w:r>
        <w:rPr>
          <w:rFonts w:ascii="Times New Roman;serif" w:hAnsi="Times New Roman;serif"/>
          <w:b w:val="false"/>
          <w:color w:val="000000"/>
          <w:sz w:val="24"/>
        </w:rPr>
        <w:t xml:space="preserve">. The capitalization of the Company is as set forth in the SEC Reports, as of the dates set forth therein. All the outstanding shares of capital stock of the Company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68880"/>
                <wp:effectExtent l="0" t="0" r="0" b="0"/>
                <wp:wrapNone/>
                <wp:docPr id="12" name="Frame11"/>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have been duly and validly authorized and issued and are fully paid and non-assessable and are not subject to any pre-emptive or similar rights that have not been duly waived or satisfied; except as described in or expressly contemplated by the Registration Statement and the Prospectus Supplement,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all outstanding shares of capital stock of the Company conform, and the Common Shares, when they have been delivered and paid for in accordance with this Agreement, will conform, in all material respects to the description thereof contained in the Registration Statement and the Prospectus Supplement.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SEC Reports; Financial Statements</w:t>
      </w:r>
      <w:r>
        <w:rPr>
          <w:rFonts w:ascii="Times New Roman;serif" w:hAnsi="Times New Roman;serif"/>
          <w:b w:val="false"/>
          <w:color w:val="000000"/>
          <w:sz w:val="24"/>
        </w:rPr>
        <w:t>. The Company has filed all reports, schedules, forms, statements and other documents required to be filed by the Company under the Securities Act and the Exchange Act, including pursuant to Section 13(a) or 15(d) thereof, for the two years preceding the date hereof (the foregoing materials, including the exhibits thereto and documents incorporated by reference therein, being collectively referred to herein as the “</w:t>
      </w:r>
      <w:r>
        <w:rPr>
          <w:rFonts w:ascii="Times New Roman;serif" w:hAnsi="Times New Roman;serif"/>
          <w:b w:val="false"/>
          <w:color w:val="000000"/>
          <w:sz w:val="24"/>
          <w:u w:val="single"/>
        </w:rPr>
        <w:t>SEC Reports</w:t>
      </w:r>
      <w:r>
        <w:rPr>
          <w:color w:val="000000"/>
        </w:rPr>
        <w:t>”</w:t>
      </w:r>
      <w:r>
        <w:rPr>
          <w:rFonts w:ascii="Times New Roman;serif" w:hAnsi="Times New Roman;serif"/>
          <w:b w:val="false"/>
          <w:color w:val="000000"/>
          <w:sz w:val="24"/>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(or any predecessor entity thereof)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Company Not Ineligible Issuer</w:t>
      </w:r>
      <w:r>
        <w:rPr>
          <w:rFonts w:ascii="Times New Roman;serif" w:hAnsi="Times New Roman;serif"/>
          <w:b w:val="false"/>
          <w:color w:val="000000"/>
          <w:sz w:val="24"/>
        </w:rPr>
        <w:t>. At the time of filing the Registration Statement and any post-effective amendment thereto, at the earliest time thereafter that the Company or another offering participant made a bona fide offer (within the meaning of Rule 164(h)(2) of the Securities Act) of the Common Shares and at the date hereof, the Company was not and is not an “ineligible issuer,” as defined in Rules 164, 405, and 433 under the Securities Act (without taking account of any determination by the Commission pursuant to Rule 405 that it is not necessary that the Company be considered an ineligible issuer).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as of the date of such filing, in all material respects with the applicable requirements of the Securities Act and the applicable rules and regulations of the Commission thereunder.</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Material Changes; Undisclosed Events, Liabilities or Developments</w:t>
      </w:r>
      <w:r>
        <w:rPr>
          <w:rFonts w:ascii="Times New Roman;serif" w:hAnsi="Times New Roman;serif"/>
          <w:b w:val="false"/>
          <w:color w:val="000000"/>
          <w:sz w:val="24"/>
        </w:rPr>
        <w:t xml:space="preserve">. Except as disclosed in the SEC Reports, since the date of the latest audited financial statements included within the SEC Reports, (i) there has been no event, occurrence or development that has had or that could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68880"/>
                <wp:effectExtent l="0" t="0" r="0" b="0"/>
                <wp:wrapNone/>
                <wp:docPr id="13" name="Frame12"/>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in any material respect, other than as required by GAAP or applicable rules of the Commission, and (iv) the Company has not declared or made any dividend or distribution of cash or other property to its stockholders or purchased, redeemed or made any agreements to purchase or redeem any shares of its capital stock.</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(l) </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(collectively, an “</w:t>
      </w:r>
      <w:r>
        <w:rPr>
          <w:rFonts w:ascii="Times New Roman;serif" w:hAnsi="Times New Roman;serif"/>
          <w:b w:val="false"/>
          <w:color w:val="000000"/>
          <w:sz w:val="24"/>
          <w:u w:val="single"/>
        </w:rPr>
        <w:t>Action</w:t>
      </w:r>
      <w:r>
        <w:rPr>
          <w:color w:val="000000"/>
        </w:rPr>
        <w:t>”</w:t>
      </w:r>
      <w:r>
        <w:rPr>
          <w:rFonts w:ascii="Times New Roman;serif" w:hAnsi="Times New Roman;serif"/>
          <w:b w:val="false"/>
          <w:color w:val="000000"/>
          <w:sz w:val="24"/>
        </w:rPr>
        <w:t>) which (i) adversely affects or challenges the legality, validity or enforceability of this Agreement or the issuance and sale of the Common Shares or (ii) could, if there were an unfavorable decision, have or reasonably be expected to result in a Material Adverse Effect. Neither the Company nor, to the knowledge of the Company, any director or officer thereof in his or her capacity as such, is or has been during the two years preceding the date hereof the subject of any Action involving a claim of violation of or liability under federal or state securities laws or a claim of breach of fiduciary duty that is required to be disclosed in the SEC Reports and is not so disclosed. There has not been, and to the knowledge of the Company, there is not pending or contemplated, any investigation by the Commission involving the Company or any current or former director or officer of the Company.</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(m) </w:t>
      </w:r>
      <w:r>
        <w:rPr>
          <w:rFonts w:ascii="Times New Roman;serif" w:hAnsi="Times New Roman;serif"/>
          <w:b w:val="false"/>
          <w:color w:val="000000"/>
          <w:sz w:val="24"/>
          <w:u w:val="single"/>
        </w:rPr>
        <w:t>Compliance</w:t>
      </w:r>
      <w:r>
        <w:rPr>
          <w:rFonts w:ascii="Times New Roman;serif" w:hAnsi="Times New Roman;serif"/>
          <w:b w:val="false"/>
          <w:color w:val="000000"/>
          <w:sz w:val="24"/>
        </w:rPr>
        <w:t>. Upon the execution and delivery by the Company of, and the performance by the Company of its obligations under, this Agreement, the Company will not be: (i) in default under or in violation of (and no event has occurred that has not been waived that, with notice or lapse of time or both, would result in a default by the Company under) any indenture, loan or credit agreement or any other agreement or instrument to which it is a party or by which it or any of its properties is bound (whether or not such default or violation has been waived), (ii) in violation of any judgment, decree or order of any court, arbitrator or other governmental authority or (iii) in violation of any statute, rule, ordinance, regulation or guidance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 xml:space="preserve">(n) </w:t>
      </w:r>
      <w:r>
        <w:rPr>
          <w:rFonts w:ascii="Times New Roman;serif" w:hAnsi="Times New Roman;serif"/>
          <w:b w:val="false"/>
          <w:color w:val="000000"/>
          <w:sz w:val="24"/>
          <w:u w:val="single"/>
        </w:rPr>
        <w:t>Title to Intellectual Property</w:t>
      </w:r>
      <w:r>
        <w:rPr>
          <w:rFonts w:ascii="Times New Roman;serif" w:hAnsi="Times New Roman;serif"/>
          <w:b w:val="false"/>
          <w:color w:val="000000"/>
          <w:sz w:val="24"/>
        </w:rPr>
        <w:t>. (i) The Company owns, or has obtained valid and enforceable licenses for, all inventions (including any “subject inventions” developed with government funding as described in clause (ii) below),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serif" w:hAnsi="Times New Roman;serif"/>
          <w:b w:val="false"/>
          <w:color w:val="000000"/>
          <w:sz w:val="24"/>
          <w:u w:val="single"/>
        </w:rPr>
        <w:t>Intellectual Property</w:t>
      </w:r>
      <w:r>
        <w:rPr>
          <w:color w:val="000000"/>
        </w:rPr>
        <w:t>”</w:t>
      </w:r>
      <w:r>
        <w:rPr>
          <w:rFonts w:ascii="Times New Roman;serif" w:hAnsi="Times New Roman;serif"/>
          <w:b w:val="false"/>
          <w:color w:val="000000"/>
          <w:sz w:val="24"/>
        </w:rPr>
        <w:t xml:space="preserve">) used in the conduct of its business as currently conducted, except where the failure to own or have such licenses would not, individually or in the aggregate, reasonably be expected to result in a Material Adverse Effect; (ii) as contemplated under the Bayh-Dole Act and its implementing regulations, the Company has timely submitted notices of election to retain title to any material subject invention the Company developed using government funding; (iii) to the knowledge of the Company, the Company’s conduct of its business does not infringe, misappropriate or otherwise violate any intellectual property of any person except those that would not reasonably be expected, individually or in the aggregate, to have a Material Adverse Effect; (iv) the Company has not received any written notice of any claim relating to Intellectual Property and, to the knowledge of the Company, no such claims have been threatened, except any such notice of claim or threatened claim that would not reasonably be expected, </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68880"/>
                <wp:effectExtent l="0" t="0" r="0" b="0"/>
                <wp:wrapNone/>
                <wp:docPr id="14" name="Frame13"/>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individually or in the aggregate, to have a Material Adverse Effect; (v) to the knowledge of the Company, the Intellectual Property of the Company is valid and enforceable and is not being infringed, misappropriated or otherwise violated by any person in any respect that would reasonably be expected, individually or in the aggregate, to have a Material Adverse Effect; (vi) the Company has complied in all material respects with the terms of each agreement pursuant to which Intellectual Property has been licensed to the Company, and all such agreements are in full force and effect; and (vii) the Company has taken commercially reasonable steps to protect, maintain and safeguard the Intellectual Property owned by it, including the execution of appropriate nondisclosure, confidentiality agreements and invention assignment agreements by its employees and contractors, and, to the Company’s knowledge, no employee or contractor of the Company is in or has been in violation in a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(o) </w:t>
      </w:r>
      <w:r>
        <w:rPr>
          <w:rFonts w:ascii="Times New Roman;serif" w:hAnsi="Times New Roman;serif"/>
          <w:b w:val="false"/>
          <w:color w:val="000000"/>
          <w:sz w:val="24"/>
          <w:u w:val="single"/>
        </w:rPr>
        <w:t>No Undisclosed Relationships</w:t>
      </w:r>
      <w:r>
        <w:rPr>
          <w:rFonts w:ascii="Times New Roman;serif" w:hAnsi="Times New Roman;serif"/>
          <w:b w:val="false"/>
          <w:color w:val="000000"/>
          <w:sz w:val="24"/>
        </w:rPr>
        <w:t>. No relationship, direct or indirect, exists between or among the Company, on the one hand, and the directors, officers, stockholders, customers, suppliers or other affiliates of the Company, on the other, that is required by the Securities Act to be described in the SEC Reports and that is not so described in such filings.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(p) </w:t>
      </w:r>
      <w:r>
        <w:rPr>
          <w:rFonts w:ascii="Times New Roman;serif" w:hAnsi="Times New Roman;serif"/>
          <w:b w:val="false"/>
          <w:color w:val="000000"/>
          <w:sz w:val="24"/>
          <w:u w:val="single"/>
        </w:rPr>
        <w:t>Licenses and Permits</w:t>
      </w:r>
      <w:r>
        <w:rPr>
          <w:rFonts w:ascii="Times New Roman;serif" w:hAnsi="Times New Roman;serif"/>
          <w:b w:val="false"/>
          <w:color w:val="000000"/>
          <w:sz w:val="24"/>
        </w:rPr>
        <w:t>. The Company possesses all licenses, sub-licenses, certificates, certifications, permits and other authorizations issued by, and has made all declarations and filings with, the appropriate federal, state, local or foreign governmental or regulatory authorities or national standards bodies that are necessary for the ownership or lease of its properties or the conduct of its business as described in each of the Registration Statement and the Prospectus Supplement, except where the failure to possess or make the same would not, whether individually or in the aggregate, reasonably be expected to have a Material Adverse Effect; and except as described in each of the Registration Statement and the Prospectus Supplement, the Company has not received notice of any revocation or modification of any such license, sub-license, certificate, certification, permit or authorization or has any reason to believe that any such license, sub-license, certificate, permit or authorization will not be renewed in the ordinary course except where such revocation or modifications would not, whether individually or in the aggregate, reasonably be expected to have a Material Adverse Effect.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Sarbanes-Oxley Compliance</w:t>
      </w:r>
      <w:r>
        <w:rPr>
          <w:rFonts w:ascii="Times New Roman;serif" w:hAnsi="Times New Roman;serif"/>
          <w:b w:val="false"/>
          <w:color w:val="000000"/>
          <w:sz w:val="24"/>
        </w:rPr>
        <w:t>. There is and, since the effectiveness of the Registration Statement, there has been no failure on the part of the Company or, to the knowledge of the Company, any of the Company’s directors or officers, in their capacities as such, to comply in all material respects with any provision of the Sarbanes-Oxley Act of 2002, as amended and the rules and regulations promulgated in connection therewith, including Section 402 related to loans.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Investment Company</w:t>
      </w:r>
      <w:r>
        <w:rPr>
          <w:rFonts w:ascii="Times New Roman;serif" w:hAnsi="Times New Roman;serif"/>
          <w:b w:val="false"/>
          <w:color w:val="000000"/>
          <w:sz w:val="24"/>
        </w:rPr>
        <w:t>. The Company is not, and is not an Affiliate of, and immediately after receipt of payment for the Common Shares, will not be or be an Affiliate of, an “investment company” within the meaning of the Investment Company Act of 1940, as amended.</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Listing and Maintenance Requirements</w:t>
      </w:r>
      <w:r>
        <w:rPr>
          <w:rFonts w:ascii="Times New Roman;serif" w:hAnsi="Times New Roman;serif"/>
          <w:b w:val="false"/>
          <w:color w:val="000000"/>
          <w:sz w:val="24"/>
        </w:rPr>
        <w:t>. The Company is subject to and in compliance in all material respects with the reporting requirements of Section 13 or Section 15(d) of the Exchange Act. The Common Stock is registered pursuant to Section 12(b) or Section 12(g) of the Exchange Act and is listed on the Trading Market, and the Company has taken no action designed to, or reasonably likely to have the effect of, terminating the registration of the Common Stock under the Exchange Act or delisting the Common Stock from the Trading Market, nor has the Company received any notification that the Commission or the Trading Market is contemplating terminating such registration or listing.</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68880"/>
                <wp:effectExtent l="0" t="0" r="0" b="0"/>
                <wp:wrapNone/>
                <wp:docPr id="15" name="Frame14"/>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(t) </w:t>
      </w:r>
      <w:r>
        <w:rPr>
          <w:rFonts w:ascii="Times New Roman;serif" w:hAnsi="Times New Roman;serif"/>
          <w:b w:val="false"/>
          <w:color w:val="000000"/>
          <w:sz w:val="24"/>
          <w:u w:val="single"/>
        </w:rPr>
        <w:t>Disclosure</w:t>
      </w:r>
      <w:r>
        <w:rPr>
          <w:rFonts w:ascii="Times New Roman;serif" w:hAnsi="Times New Roman;serif"/>
          <w:b w:val="false"/>
          <w:color w:val="000000"/>
          <w:sz w:val="24"/>
        </w:rPr>
        <w:t xml:space="preserve">. Except with respect to the material terms and conditions of the transactions contemplated by this Agreement, the Company confirms that neither it nor any other Person acting on its behalf has provided each Purchaser or its agents or counsel with any information that it believes constitutes or might constitute material, non-public information that is not otherwise disclosed in the Prospectus Supplement or the SEC Reports. The Company understands and confirms that the Purchasers will rely on the foregoing representation in effecting transactions in securities of the Company. The written disclosure furnished by or on behalf of the Company to the Purchasers specifically for purposes of the transactions contemplated hereby (other than projections, estimates and other forward-looking information), taken as a whole and together with the SEC Reports, the Registration Statement and the Prospectus Supplement, does not contain any untrue statement of a material fact or omit to state any material fact necessary in order to make the statements made therein, in the light of the circumstances under which they were made, not misleading. The Company acknowledges and agrees that each Purchaser makes or has made no representations or warranties with respect to the transactions contemplated hereby other than those specifically set forth in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hereof.</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(u) </w:t>
      </w:r>
      <w:r>
        <w:rPr>
          <w:rFonts w:ascii="Times New Roman;serif" w:hAnsi="Times New Roman;serif"/>
          <w:b w:val="false"/>
          <w:color w:val="000000"/>
          <w:sz w:val="24"/>
          <w:u w:val="single"/>
        </w:rPr>
        <w:t>Accountants</w:t>
      </w:r>
      <w:r>
        <w:rPr>
          <w:rFonts w:ascii="Times New Roman;serif" w:hAnsi="Times New Roman;serif"/>
          <w:b w:val="false"/>
          <w:color w:val="000000"/>
          <w:sz w:val="24"/>
        </w:rPr>
        <w:t>. Baker Tilly US, LLP, who has certified certain financial statements of the Company, is an independent registered public accounting firm with respect to the Company within the applicable rules and regulations adopted by the Commission and the Public Company Accounting Oversight Board (United States) and as required by the Securities Act.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Acknowledgment Regarding Purchaser’s Purchase of Common Shares</w:t>
      </w:r>
      <w:r>
        <w:rPr>
          <w:rFonts w:ascii="Times New Roman;serif" w:hAnsi="Times New Roman;serif"/>
          <w:b w:val="false"/>
          <w:color w:val="000000"/>
          <w:sz w:val="24"/>
        </w:rPr>
        <w:t>. The Company acknowledges and agrees that each Purchaser is acting solely in the capacity of an arm’s length purchaser with respect to this Agreement and the transactions contemplated hereby. The Company further acknowledges that each Purchaser is not acting as a financial advisor or fiduciary of the Company (or in any similar capacity) with respect to this Agreement and the transactions contemplated hereby and any advice given by such Purchaser or any of their respective representatives or agents in connection with this Agreement and the transactions contemplated hereby is merely incidental to the Purchaser’s purchase of the Common Shares. The Company further represents to each Purchaser that the Company’s decision to enter into this Agreement has been based solely on the independent evaluation of the transactions contemplated hereby by the Company and its representatives.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(w) </w:t>
      </w:r>
      <w:r>
        <w:rPr>
          <w:rFonts w:ascii="Times New Roman;serif" w:hAnsi="Times New Roman;serif"/>
          <w:b w:val="false"/>
          <w:color w:val="000000"/>
          <w:sz w:val="24"/>
          <w:u w:val="single"/>
        </w:rPr>
        <w:t>Statements</w:t>
      </w:r>
      <w:r>
        <w:rPr>
          <w:rFonts w:ascii="Times New Roman;serif" w:hAnsi="Times New Roman;serif"/>
          <w:b w:val="false"/>
          <w:color w:val="000000"/>
          <w:sz w:val="24"/>
        </w:rPr>
        <w:t>. Neither the Company nor, to the Company’s knowledge, any of its officers, employees or agents has made any untrue statement of a material fact or fraudulent statement to any governmental authority or failed to disclose a material fact required to be disclosed to such governmental authority. All material reports, documents, claims and notices required or requested to be filed, maintained or furnished under any applicable regulatory law by the Company have been so filed, maintained or furnished and were complete and correct in all material respects.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Representations and Warranties of the Purchasers</w:t>
      </w:r>
      <w:r>
        <w:rPr>
          <w:rFonts w:ascii="Times New Roman;serif" w:hAnsi="Times New Roman;serif"/>
          <w:b w:val="false"/>
          <w:color w:val="000000"/>
          <w:sz w:val="24"/>
        </w:rPr>
        <w:t>. Each Purchaser, severally and not jointly, hereby represents and warrants as of the date hereof and as of the Closing Date to the Company as follows (unless as of a specific date therein, in which case they shall be accurate as of such date):</w:t>
      </w:r>
    </w:p>
    <w:p>
      <w:pPr>
        <w:pStyle w:val="TextBody"/>
        <w:bidi w:val="0"/>
        <w:spacing w:lineRule="auto" w:line="268" w:before="0" w:after="0"/>
        <w:jc w:val="left"/>
        <w:rPr>
          <w:color w:val="000000"/>
        </w:rPr>
      </w:pPr>
      <w:r>
        <w:rPr>
          <w:color w:val="000000"/>
        </w:rPr>
        <w:t> </w:t>
      </w:r>
    </w:p>
    <w:p>
      <w:pPr>
        <w:pStyle w:val="TextBody"/>
        <w:bidi w:val="0"/>
        <w:spacing w:lineRule="auto" w:line="268"/>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Authority</w:t>
      </w:r>
      <w:r>
        <w:rPr>
          <w:rFonts w:ascii="Times New Roman;serif" w:hAnsi="Times New Roman;serif"/>
          <w:b w:val="false"/>
          <w:color w:val="000000"/>
          <w:sz w:val="24"/>
        </w:rPr>
        <w:t xml:space="preserve">. The execution and delivery of this Agreement and performance by such Purchaser of the transactions contemplated by this Agreement have been duly authorized by all necessary action on the part of the Purchaser. This Agreement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68880"/>
                <wp:effectExtent l="0" t="0" r="0" b="0"/>
                <wp:wrapNone/>
                <wp:docPr id="16" name="Frame15"/>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Understandings or Arrangements</w:t>
      </w:r>
      <w:r>
        <w:rPr>
          <w:rFonts w:ascii="Times New Roman;serif" w:hAnsi="Times New Roman;serif"/>
          <w:b w:val="false"/>
          <w:color w:val="000000"/>
          <w:sz w:val="24"/>
        </w:rPr>
        <w:t>. Such Purchaser is acquiring the Common Shares as principal for its own account and has no direct or indirect arrangement or understandings with any other persons to distribute or regarding the distribution of such Common Shares (this representation and warranty not limiting such Purchaser’s right to sell the Common Shares in compliance with applicable federal and state securities laws).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Experience of the Purchaser</w:t>
      </w:r>
      <w:r>
        <w:rPr>
          <w:rFonts w:ascii="Times New Roman;serif" w:hAnsi="Times New Roman;serif"/>
          <w:b w:val="false"/>
          <w:color w:val="000000"/>
          <w:sz w:val="24"/>
        </w:rPr>
        <w:t>. Such Purchaser, either alone or together with its representatives, has such knowledge, sophistication and experience in business and financial matters so as to be capable of evaluating the merits and risks of the prospective investment in the Common Shares, and has so evaluated the merits and risks of such investment. The Purchaser is able to bear the economic risk of an investment in the Common Shares and, at the present time, is able to afford a complete loss of such investment.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 The Purchaser acknowledges that it has had the opportunity to review this Agreement (including all exhibits and schedules thereto) and the SEC Reports and has been afforded, (i) the opportunity to ask such questions as it has deemed necessary of, and to receive answers from, representatives of the Company concerning the terms and conditions of the offering of the Common Shares and the merits and risks of investing in the Common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erif" w:hAnsi="Times New Roman;serif"/>
          <w:b w:val="false"/>
          <w:color w:val="000000"/>
          <w:sz w:val="24"/>
        </w:rPr>
        <w:t xml:space="preserve">(e) </w:t>
      </w:r>
      <w:r>
        <w:rPr>
          <w:rFonts w:ascii="Times New Roman;serif" w:hAnsi="Times New Roman;serif"/>
          <w:b w:val="false"/>
          <w:color w:val="000000"/>
          <w:sz w:val="24"/>
          <w:u w:val="single"/>
        </w:rPr>
        <w:t>Trading Activities</w:t>
      </w:r>
      <w:r>
        <w:rPr>
          <w:rFonts w:ascii="Times New Roman;serif" w:hAnsi="Times New Roman;serif"/>
          <w:b w:val="false"/>
          <w:color w:val="000000"/>
          <w:sz w:val="24"/>
        </w:rPr>
        <w:t>. Such Purchaser represents that, other than the transactions contemplated hereby, from the time such Purchaser first received from the Company or any Person acting on its behalf any information regarding the transactions contemplated hereby through the date hereof, neither such Purchaser nor any Affiliate acting on its behalf or pursuant to any understanding with it has, directly or indirectly, effected or agreed to effect any purchase or sale (including any "short sale" as defined in Rule 200 of Regulation SHO) of any securities of the Company. Such Purchaser covenants that it will not engage in any such transaction prior to the time the transactions contemplated hereby are publicly disclosed. Notwithstanding the foregoing, no Purchaser makes any representation or covenant as to the activities of any Affiliate or trading desk that is operated independently of, and without access to information held by, the personnel making the investment decision hereunder.</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both"/>
        <w:rPr/>
      </w:pPr>
      <w:r>
        <w:rPr>
          <w:rFonts w:ascii="Times New Roman;serif" w:hAnsi="Times New Roman;serif"/>
          <w:b w:val="false"/>
          <w:color w:val="000000"/>
          <w:sz w:val="24"/>
        </w:rPr>
        <w:t xml:space="preserve">The Company acknowledges and agrees that the representations contained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shall not modify, amend or affect such Purchaser’s right to rely on the Company’s representations and warranties contained in this Agreement or any other document or instrument executed and/or delivered in connection with this Agreement or the consummation of the transactions contemplated hereby.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6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OTHER AGREEMENTS OF THE PARTIES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Company will use the net proceeds as described in the Prospectus Supplement under the section entitled “Use of Proceeds.”</w:t>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68880"/>
                <wp:effectExtent l="0" t="0" r="0" b="0"/>
                <wp:wrapNone/>
                <wp:docPr id="17" name="Frame16"/>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6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5.1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contains the entire understanding of the parties with respect to the subject matter hereof and supersedes all prior agreements and understandings, oral or written, with respect to such matters, which the parties acknowledge have been merged into this Agreement.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 xml:space="preserve">5.2 </w:t>
      </w:r>
      <w:r>
        <w:rPr>
          <w:rFonts w:ascii="Times New Roman;serif" w:hAnsi="Times New Roman;serif"/>
          <w:b w:val="false"/>
          <w:color w:val="000000"/>
          <w:sz w:val="24"/>
          <w:u w:val="single"/>
        </w:rPr>
        <w:t>Notices</w:t>
      </w:r>
      <w:r>
        <w:rPr>
          <w:rFonts w:ascii="Times New Roman;serif" w:hAnsi="Times New Roman;serif"/>
          <w:b w:val="false"/>
          <w:color w:val="000000"/>
          <w:sz w:val="24"/>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serif" w:hAnsi="Times New Roman;serif"/>
          <w:b w:val="false"/>
          <w:color w:val="000000"/>
          <w:sz w:val="16"/>
        </w:rPr>
        <w:t>nd</w:t>
      </w:r>
      <w:r>
        <w:rPr>
          <w:rFonts w:ascii="Times New Roman;serif" w:hAnsi="Times New Roman;serif"/>
          <w:b w:val="false"/>
          <w:color w:val="000000"/>
          <w:sz w:val="24"/>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this Agreement constitutes, or contains, material, non-public information regarding the Company, the Company shall simultaneously file such notice with the Commission pursuant to a Current Report on Form 8-K.</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5.3            </w:t>
      </w:r>
      <w:r>
        <w:rPr>
          <w:rFonts w:ascii="Times New Roman;serif" w:hAnsi="Times New Roman;serif"/>
          <w:b w:val="false"/>
          <w:color w:val="000000"/>
          <w:sz w:val="24"/>
          <w:u w:val="single"/>
        </w:rPr>
        <w:t>Amendments; Waivers</w:t>
      </w:r>
      <w:r>
        <w:rPr>
          <w:rFonts w:ascii="Times New Roman;serif" w:hAnsi="Times New Roman;serif"/>
          <w:b w:val="false"/>
          <w:color w:val="000000"/>
          <w:sz w:val="24"/>
        </w:rPr>
        <w:t>. No provision of this Agreement may be waived, modified, supplemented or amended except in a written instrument signed, in the case of an amendment, by the Company and Purchasers holding at least a majority of the Common Shares purchased or to be purchased hereunder; provided that if any amendment or waiver disproportionately and adversely affects a Purchaser (or group of Purchasers) in any material respect, the consent of such disproportionately affected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5.3 shall be binding upon the Purchasers and the Company.</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5.4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herein are for convenience only, do not constitute a part of this Agreement and shall not be deemed to limit or affect any of the provisions hereof.</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5.5            </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Agreement shall be binding upon and inure to the benefit of the parties and their successors and permitted assigns. Neither party may assign this Agreement or any rights or obligations hereunder without the prior written consent of the other party (other than by merger).</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5.6            </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 This Agreement is intended for the benefit of the parties hereto and their respective successors and permitted assigns and is not for the benefit of, nor may any provision hereof be enforced by, any other Person.</w:t>
      </w:r>
    </w:p>
    <w:p>
      <w:pPr>
        <w:pStyle w:val="TextBody"/>
        <w:bidi w:val="0"/>
        <w:spacing w:lineRule="auto" w:line="268"/>
        <w:jc w:val="left"/>
        <w:rPr>
          <w:color w:val="000000"/>
        </w:rPr>
      </w:pPr>
      <w:r>
        <w:rPr>
          <w:color w:val="000000"/>
        </w:rPr>
        <w:t>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68880"/>
                <wp:effectExtent l="0" t="0" r="0" b="0"/>
                <wp:wrapNone/>
                <wp:docPr id="18" name="Frame17"/>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5.7            </w:t>
      </w:r>
      <w:r>
        <w:rPr>
          <w:rFonts w:ascii="Times New Roman;serif" w:hAnsi="Times New Roman;serif"/>
          <w:b w:val="false"/>
          <w:color w:val="000000"/>
          <w:sz w:val="24"/>
          <w:u w:val="single"/>
        </w:rPr>
        <w:t>Governing Law</w:t>
      </w:r>
      <w:r>
        <w:rPr>
          <w:rFonts w:ascii="Times New Roman;serif" w:hAnsi="Times New Roman;serif"/>
          <w:b w:val="false"/>
          <w:color w:val="000000"/>
          <w:sz w:val="24"/>
        </w:rPr>
        <w:t>. All questions concerning the construction, validity, enforcement and interpretation of this Agreement shall be governed by and construed and enforced in accordance with the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New York. Each party hereby irrevocably submits to the exclusive jurisdiction of the state and federal courts sitting in New York, for the adjudication of any dispute hereunder or in connection herewith or with any transaction contemplated hereby or discussed herein (including with respect to the enforcement of this Agreement),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Agreement, then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5.8            </w:t>
      </w:r>
      <w:r>
        <w:rPr>
          <w:rFonts w:ascii="Times New Roman;serif" w:hAnsi="Times New Roman;serif"/>
          <w:b w:val="false"/>
          <w:color w:val="000000"/>
          <w:sz w:val="24"/>
          <w:u w:val="single"/>
        </w:rPr>
        <w:t>Execution</w:t>
      </w:r>
      <w:r>
        <w:rPr>
          <w:rFonts w:ascii="Times New Roman;serif" w:hAnsi="Times New Roman;serif"/>
          <w:b w:val="false"/>
          <w:color w:val="000000"/>
          <w:sz w:val="24"/>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other electronic transmission, such signature shall create a valid and binding obligation of the party executing (or on whose behalf such signature is executed) with the same force and effect as if such electronic signature page were an original thereof. </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5.9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5.10            </w:t>
      </w:r>
      <w:r>
        <w:rPr>
          <w:rFonts w:ascii="Times New Roman;serif" w:hAnsi="Times New Roman;serif"/>
          <w:b w:val="false"/>
          <w:color w:val="000000"/>
          <w:sz w:val="24"/>
          <w:u w:val="single"/>
        </w:rPr>
        <w:t>Remedies</w:t>
      </w:r>
      <w:r>
        <w:rPr>
          <w:rFonts w:ascii="Times New Roman;serif" w:hAnsi="Times New Roman;serif"/>
          <w:b w:val="false"/>
          <w:color w:val="000000"/>
          <w:sz w:val="24"/>
        </w:rPr>
        <w:t>. In addition to being entitled to exercise all rights provided herein or granted by law, including recovery of damages, each Purchaser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5.11            </w:t>
      </w:r>
      <w:r>
        <w:rPr>
          <w:rFonts w:ascii="Times New Roman;serif" w:hAnsi="Times New Roman;serif"/>
          <w:b w:val="false"/>
          <w:color w:val="000000"/>
          <w:sz w:val="24"/>
          <w:u w:val="single"/>
        </w:rPr>
        <w:t>Saturdays, Sundays, Holidays, etc.</w:t>
      </w:r>
      <w:r>
        <w:rPr>
          <w:color w:val="000000"/>
        </w:rPr>
        <w:t xml:space="preserve">      </w:t>
      </w:r>
      <w:r>
        <w:rPr>
          <w:rFonts w:ascii="Times New Roman;serif" w:hAnsi="Times New Roman;serif"/>
          <w:b w:val="false"/>
          <w:color w:val="000000"/>
          <w:sz w:val="24"/>
        </w:rPr>
        <w:t>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lineRule="auto" w:line="268"/>
        <w:jc w:val="left"/>
        <w:rPr>
          <w:color w:val="000000"/>
        </w:rPr>
      </w:pPr>
      <w:r>
        <w:rPr>
          <w:color w:val="000000"/>
        </w:rPr>
        <w:t>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68880"/>
                <wp:effectExtent l="0" t="0" r="0" b="0"/>
                <wp:wrapNone/>
                <wp:docPr id="19" name="Frame18"/>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5.12            </w:t>
      </w:r>
      <w:r>
        <w:rPr>
          <w:rFonts w:ascii="Times New Roman;serif" w:hAnsi="Times New Roman;serif"/>
          <w:b w:val="false"/>
          <w:color w:val="000000"/>
          <w:sz w:val="24"/>
          <w:u w:val="single"/>
        </w:rPr>
        <w:t>Construction</w:t>
      </w:r>
      <w:r>
        <w:rPr>
          <w:rFonts w:ascii="Times New Roman;serif" w:hAnsi="Times New Roman;serif"/>
          <w:b w:val="false"/>
          <w:color w:val="000000"/>
          <w:sz w:val="24"/>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Common Stock in this Agreement shall be subject to adjustment for reverse and forward stock splits, stock dividends, stock combinations and other similar transactions of the Common Stock that occur after the date of this Agreement.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4"/>
        </w:rPr>
        <w:t>5.13            </w:t>
      </w:r>
      <w:r>
        <w:rPr>
          <w:rFonts w:ascii="Times New Roman;serif" w:hAnsi="Times New Roman;serif"/>
          <w:b/>
          <w:color w:val="000000"/>
          <w:sz w:val="24"/>
          <w:u w:val="single"/>
        </w:rPr>
        <w:t>WAIVER OF JURY TRIAL</w:t>
      </w:r>
      <w:r>
        <w:rPr>
          <w:rFonts w:ascii="Times New Roman;serif" w:hAnsi="Times New Roman;serif"/>
          <w:b/>
          <w:color w:val="000000"/>
          <w:sz w:val="24"/>
        </w:rPr>
        <w:t xml:space="preserve">. </w:t>
      </w:r>
      <w:r>
        <w:rPr>
          <w:rFonts w:ascii="Times New Roman;serif" w:hAnsi="Times New Roman;serif"/>
          <w:b/>
          <w:color w:val="000000"/>
          <w:sz w:val="24"/>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 FOREVER TRIAL BY JURY.</w:t>
      </w:r>
    </w:p>
    <w:p>
      <w:pPr>
        <w:pStyle w:val="TextBody"/>
        <w:bidi w:val="0"/>
        <w:spacing w:lineRule="auto" w:line="268" w:before="0" w:after="0"/>
        <w:jc w:val="left"/>
        <w:rPr>
          <w:color w:val="000000"/>
        </w:rPr>
      </w:pPr>
      <w:r>
        <w:rPr>
          <w:color w:val="000000"/>
        </w:rPr>
        <w:t> </w:t>
      </w:r>
    </w:p>
    <w:p>
      <w:pPr>
        <w:pStyle w:val="TextBody"/>
        <w:bidi w:val="0"/>
        <w:spacing w:lineRule="auto" w:line="276"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68880"/>
                <wp:effectExtent l="0" t="0" r="0" b="0"/>
                <wp:wrapNone/>
                <wp:docPr id="20" name="Frame19"/>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Securities Purchase Agreement to be duly executed by their respective authorized signatories as of the date first indicated above.</w:t>
      </w:r>
    </w:p>
    <w:p>
      <w:pPr>
        <w:pStyle w:val="TextBody"/>
        <w:bidi w:val="0"/>
        <w:spacing w:lineRule="auto" w:line="268" w:before="0" w:after="0"/>
        <w:jc w:val="left"/>
        <w:rPr>
          <w:color w:val="000000"/>
        </w:rPr>
      </w:pPr>
      <w:r>
        <w:rPr>
          <w:color w:val="000000"/>
        </w:rPr>
        <w: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CAPSOVISION,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Name: Kang-Huai (Johnny) Wang</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Address for Notices: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CapsoVision, Inc.</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18805 Cox Avenue, Suite 250</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Saratoga, CA 95070</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David Garcia</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Telephone: </w:t>
      </w:r>
      <w:r>
        <w:rPr>
          <w:rFonts w:ascii="Times New Roman;serif" w:hAnsi="Times New Roman;serif"/>
          <w:b/>
          <w:color w:val="000000"/>
          <w:sz w:val="24"/>
        </w:rPr>
        <w:t>[* *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E-mail: </w:t>
      </w:r>
      <w:r>
        <w:rPr>
          <w:rFonts w:ascii="Times New Roman;serif" w:hAnsi="Times New Roman;serif"/>
          <w:b/>
          <w:color w:val="000000"/>
          <w:sz w:val="24"/>
        </w:rPr>
        <w:t>[* *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O’Melveny &amp; Myers LLP</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12th Floor, JC Plaza</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1225 Nanjing Road West</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Shanghai 200040, China</w: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Attention: Portia Ku</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Telephone: </w:t>
      </w:r>
      <w:r>
        <w:rPr>
          <w:rFonts w:ascii="Times New Roman;serif" w:hAnsi="Times New Roman;serif"/>
          <w:b/>
          <w:color w:val="000000"/>
          <w:sz w:val="24"/>
        </w:rPr>
        <w:t>[* * *]</w:t>
      </w:r>
    </w:p>
    <w:p>
      <w:pPr>
        <w:pStyle w:val="TextBody"/>
        <w:bidi w:val="0"/>
        <w:spacing w:lineRule="auto" w:line="268" w:before="0" w:after="0"/>
        <w:ind w:left="0" w:right="0" w:firstLine="720"/>
        <w:jc w:val="left"/>
        <w:rPr/>
      </w:pPr>
      <w:r>
        <w:rPr>
          <w:rFonts w:ascii="Times New Roman;serif" w:hAnsi="Times New Roman;serif"/>
          <w:b w:val="false"/>
          <w:color w:val="000000"/>
          <w:sz w:val="24"/>
        </w:rPr>
        <w:t xml:space="preserve">E-mail: </w:t>
      </w:r>
      <w:r>
        <w:rPr>
          <w:rFonts w:ascii="Times New Roman;serif" w:hAnsi="Times New Roman;serif"/>
          <w:b/>
          <w:color w:val="000000"/>
          <w:sz w:val="24"/>
        </w:rPr>
        <w:t>[* *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68880"/>
                <wp:effectExtent l="0" t="0" r="0" b="0"/>
                <wp:wrapNone/>
                <wp:docPr id="21" name="Frame20"/>
                <a:graphic xmlns:a="http://schemas.openxmlformats.org/drawingml/2006/main">
                  <a:graphicData uri="http://schemas.microsoft.com/office/word/2010/wordprocessingShape">
                    <wps:wsp>
                      <wps:cNvSpPr txBox="1"/>
                      <wps:spPr>
                        <a:xfrm>
                          <a:off x="0" y="0"/>
                          <a:ext cx="6480175" cy="246888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Securities Purchase Agreement to be duly executed by their respective authorized signatories as of the date first indicated above.</w:t>
      </w:r>
    </w:p>
    <w:p>
      <w:pPr>
        <w:pStyle w:val="TextBody"/>
        <w:bidi w:val="0"/>
        <w:spacing w:lineRule="auto" w:line="26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of Purchaser: ________________________________________________________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of Authorized Signatory of Purchaser: 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of Authorized Signatory: _______________________________________________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of Authorized Signatory: ________________________________________________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Email Address of Authorized Signatory: _________________________________________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Address for Notices to Purchaser: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Subscription Amount: $_________________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Number of Common Shares: _________________</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EIN Number: ____________________</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9715</Words>
  <Characters>52515</Characters>
  <CharactersWithSpaces>63050</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