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Shen Ching Hang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2F NO.112, LN 189, ZHONGSHAN N RD SEC 2</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TAMSUI DIST.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TAIPEI CITY</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TAIWAN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CapsoVision, Inc</w:t>
              </w:r>
            </w:hyperlink>
            <w:r>
              <w:rPr/>
              <w:t xml:space="preserve"> [ </w:t>
            </w:r>
            <w:r>
              <w:rPr>
                <w:rFonts w:ascii="Times;serif" w:hAnsi="Times;serif"/>
                <w:color w:val="0000FF"/>
                <w:sz w:val="24"/>
                <w:shd w:fill="FFFFFF" w:val="clear"/>
              </w:rPr>
              <w:t>cv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07"/>
        <w:gridCol w:w="444"/>
        <w:gridCol w:w="661"/>
        <w:gridCol w:w="1265"/>
        <w:gridCol w:w="984"/>
        <w:gridCol w:w="9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878,734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7,279,261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Star One Global Capital Limited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to amend the Form 4 originally filed on September 18, 2026, solely to correct the total amount of securities beneficially owned following the reported transaction. As of the original filing date, the total amount of shares beneficially owned following the reported transaction was 7,279,261.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Ching-Hang Shen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304" TargetMode="External"/><Relationship Id="rId5" Type="http://schemas.openxmlformats.org/officeDocument/2006/relationships/hyperlink" Target="http://www.sec.gov/cgi-bin/browse-edgar?action=getcompany&amp;CIK=00013783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3385</Characters>
  <CharactersWithSpaces>3940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