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13,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CapsoVision,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20-3369494</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4270"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272"/>
        <w:gridCol w:w="272"/>
        <w:gridCol w:w="38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18805 Cox Avenue, Suite 250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Saratoga,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95070</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(408)-624-1488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39" w:type="dxa"/>
        <w:jc w:val="left"/>
        <w:tblInd w:w="0" w:type="dxa"/>
        <w:tblLayout w:type="fixed"/>
        <w:tblCellMar>
          <w:top w:w="28" w:type="dxa"/>
          <w:left w:w="28" w:type="dxa"/>
          <w:bottom w:w="28" w:type="dxa"/>
          <w:right w:w="28" w:type="dxa"/>
        </w:tblCellMar>
      </w:tblPr>
      <w:tblGrid>
        <w:gridCol w:w="1274"/>
        <w:gridCol w:w="1118"/>
        <w:gridCol w:w="1133"/>
        <w:gridCol w:w="109"/>
        <w:gridCol w:w="109"/>
        <w:gridCol w:w="109"/>
        <w:gridCol w:w="230"/>
        <w:gridCol w:w="230"/>
        <w:gridCol w:w="231"/>
        <w:gridCol w:w="109"/>
        <w:gridCol w:w="109"/>
        <w:gridCol w:w="109"/>
        <w:gridCol w:w="781"/>
        <w:gridCol w:w="781"/>
        <w:gridCol w:w="1107"/>
      </w:tblGrid>
      <w:tr>
        <w:trPr/>
        <w:tc>
          <w:tcPr>
            <w:tcW w:w="127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60"/>
        <w:jc w:val="righ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1.01.           Entry into a Material Definitive Agreement. </w:t>
      </w:r>
    </w:p>
    <w:p>
      <w:pPr>
        <w:pStyle w:val="TextBody"/>
        <w:bidi w:val="0"/>
        <w:spacing w:lineRule="auto" w:line="288" w:before="0" w:after="240"/>
        <w:ind w:left="0" w:right="0" w:firstLine="720"/>
        <w:jc w:val="left"/>
        <w:rPr/>
      </w:pPr>
      <w:r>
        <w:rPr>
          <w:rFonts w:ascii="Times New Roman;serif" w:hAnsi="Times New Roman;serif"/>
          <w:b w:val="false"/>
          <w:color w:val="000000"/>
          <w:sz w:val="20"/>
        </w:rPr>
        <w:t>On August 13, 2026, CapsoVision, Inc. (the “Company”) entered into a Controlled Equity Offering</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Sales Agreement (the “Sales Agreement”) with Cantor Fitzgerald &amp; Co. (“Cantor”) with respect to an at-the-market offering program under which the Company may offer and sell, from time to time at its sole discretion, shares of its common stock, par value $0.001 per share (the “Common Stock”), having an aggregate offering price of up to $100,000,000 (the “Shares”) through or to Cantor as its “sales agent” or principal (the “Agent”).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Sales Agreement, the Company will set the parameters for the sale of Shares, including the number of Shares to be issued, the time period during which sales are requested to be made, limitations on the number of Shares that may be sold in any one trading day and any minimum price below which sales may not be made. Subject to the terms of the Sales Agreement, the Agent may sell the Shares by any method that is deemed to be an “at the market offering” as defined in Rule 415(a)(4) promulgated under the Securities Act, including without limitation sales made directly on The Nasdaq Capital Market (“Nasdaq”) or any other trading market for the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not obligated to sell any Shares under the Sales Agreement. The Company or the Agent may suspend or terminate the offering of Shares upon notice to the other party and subject to other conditions. The Agent will act as sales agent on a commercially reasonable efforts basis consistent with its normal trading and sales practices and applicable state and federal law, rules and regulations and the rules of Nasdaq.</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will pay the Agent a cash commission equal to up to 3.0% of the gross sales proceeds of any Shares sold through the Agent under the Sales Agreement, and has provided the Agent with customary indemnification and contribution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Sales Agreement will terminate upon the earlier of (i) the sale of all Shares subject to the Sales Agreement or (ii) termination of the Sales Agreement in accordance with the terms and conditions set forth therein.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intends to file a Registration Statement on Form S-3, including an “at-the-market offering” prospectus supplement relating to the offer and sale of the Shares, pursuant to which the shares to be offered and sold under the Sales Agreement will be issued and sold, and will file a Current Report on Form 8-K relating to it shortly.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240"/>
        <w:ind w:left="0" w:right="0" w:firstLine="504"/>
        <w:jc w:val="left"/>
        <w:rPr>
          <w:rFonts w:ascii="Times New Roman;serif" w:hAnsi="Times New Roman;serif"/>
          <w:b w:val="false"/>
          <w:color w:val="000000"/>
          <w:sz w:val="20"/>
        </w:rPr>
      </w:pPr>
      <w:r>
        <w:rPr>
          <w:rFonts w:ascii="Times New Roman;serif" w:hAnsi="Times New Roman;serif"/>
          <w:b w:val="false"/>
          <w:color w:val="000000"/>
          <w:sz w:val="20"/>
        </w:rPr>
        <w:t>On August 13, 2026, the Company issued a press release announcing its financial results for the fiscal quarter ended June 30, 2026. A copy of the press release, dated August 13, 2026, is furnished hereto as Exhibit 99.1 and is incorporated herein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information in this Item 2.02 (including the exhibit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being filed herewith: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89"/>
        <w:gridCol w:w="2689"/>
        <w:gridCol w:w="38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813xex101.htm">
              <w:r>
                <w:rPr>
                  <w:rStyle w:val="InternetLink"/>
                  <w:rFonts w:ascii="Times New Roman;serif" w:hAnsi="Times New Roman;serif"/>
                  <w:b w:val="false"/>
                  <w:color w:val="000080"/>
                  <w:sz w:val="20"/>
                  <w:u w:val="single"/>
                </w:rPr>
                <w:t>C</w:t>
              </w:r>
            </w:hyperlink>
            <w:hyperlink w:anchor="cv-20260813xex101.htm">
              <w:r>
                <w:rPr>
                  <w:rStyle w:val="InternetLink"/>
                  <w:rFonts w:ascii="Times New Roman;serif" w:hAnsi="Times New Roman;serif"/>
                  <w:b w:val="false"/>
                  <w:color w:val="000080"/>
                  <w:sz w:val="20"/>
                  <w:u w:val="single"/>
                </w:rPr>
                <w:t>o</w:t>
              </w:r>
            </w:hyperlink>
            <w:hyperlink w:anchor="cv-20260813xex101.htm">
              <w:r>
                <w:rPr>
                  <w:rStyle w:val="InternetLink"/>
                  <w:rFonts w:ascii="Times New Roman;serif" w:hAnsi="Times New Roman;serif"/>
                  <w:b w:val="false"/>
                  <w:color w:val="000080"/>
                  <w:sz w:val="20"/>
                  <w:u w:val="single"/>
                </w:rPr>
                <w:t>ntrol</w:t>
              </w:r>
            </w:hyperlink>
            <w:hyperlink w:anchor="cv-20260813xex101.htm">
              <w:r>
                <w:rPr>
                  <w:rStyle w:val="InternetLink"/>
                  <w:rFonts w:ascii="Times New Roman;serif" w:hAnsi="Times New Roman;serif"/>
                  <w:b w:val="false"/>
                  <w:color w:val="000080"/>
                  <w:sz w:val="20"/>
                  <w:u w:val="single"/>
                </w:rPr>
                <w:t>led</w:t>
              </w:r>
            </w:hyperlink>
            <w:hyperlink w:anchor="cv-20260813xex101.htm">
              <w:r>
                <w:rPr>
                  <w:rStyle w:val="InternetLink"/>
                  <w:rFonts w:ascii="Times New Roman;serif" w:hAnsi="Times New Roman;serif"/>
                  <w:b w:val="false"/>
                  <w:color w:val="000080"/>
                  <w:sz w:val="20"/>
                  <w:u w:val="single"/>
                </w:rPr>
                <w:t xml:space="preserve"> Equity Offering</w:t>
              </w:r>
            </w:hyperlink>
            <w:hyperlink w:anchor="cv-20260813xex101.htm">
              <w:r>
                <w:rPr>
                  <w:rStyle w:val="InternetLink"/>
                  <w:rFonts w:ascii="Times New Roman;serif" w:hAnsi="Times New Roman;serif"/>
                  <w:b w:val="false"/>
                  <w:color w:val="0000FF"/>
                  <w:sz w:val="13"/>
                  <w:u w:val="single"/>
                </w:rPr>
                <w:t>SM</w:t>
              </w:r>
            </w:hyperlink>
            <w:hyperlink w:anchor="cv-20260813xex101.htm">
              <w:r>
                <w:rPr>
                  <w:rStyle w:val="InternetLink"/>
                  <w:color w:val="0000FF"/>
                  <w:u w:val="single"/>
                </w:rPr>
                <w:t xml:space="preserve"> </w:t>
              </w:r>
            </w:hyperlink>
            <w:hyperlink w:anchor="cv-20260813xex101.htm">
              <w:r>
                <w:rPr>
                  <w:rStyle w:val="InternetLink"/>
                  <w:rFonts w:ascii="Times New Roman;serif" w:hAnsi="Times New Roman;serif"/>
                  <w:b w:val="false"/>
                  <w:color w:val="0000FF"/>
                  <w:sz w:val="20"/>
                  <w:u w:val="single"/>
                </w:rPr>
                <w:t xml:space="preserve">Sales Agreement, dated August </w:t>
              </w:r>
            </w:hyperlink>
            <w:hyperlink w:anchor="cv-20260813xex101.htm">
              <w:r>
                <w:rPr>
                  <w:rStyle w:val="InternetLink"/>
                  <w:rFonts w:ascii="Times New Roman;serif" w:hAnsi="Times New Roman;serif"/>
                  <w:b w:val="false"/>
                  <w:color w:val="000080"/>
                  <w:sz w:val="20"/>
                  <w:u w:val="single"/>
                </w:rPr>
                <w:t>13</w:t>
              </w:r>
            </w:hyperlink>
            <w:hyperlink w:anchor="cv-20260813xex101.htm">
              <w:r>
                <w:rPr>
                  <w:rStyle w:val="InternetLink"/>
                  <w:rFonts w:ascii="Times New Roman;serif" w:hAnsi="Times New Roman;serif"/>
                  <w:b w:val="false"/>
                  <w:color w:val="000080"/>
                  <w:sz w:val="20"/>
                  <w:u w:val="single"/>
                </w:rPr>
                <w:t>, 2026, by and between CapsoVision, Inc. and Cantor Fitzgerald &amp; Co.</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813xex991q22026ear.htm">
              <w:r>
                <w:rPr>
                  <w:rStyle w:val="InternetLink"/>
                  <w:rFonts w:ascii="Times New Roman;serif" w:hAnsi="Times New Roman;serif"/>
                  <w:b w:val="false"/>
                  <w:color w:val="000080"/>
                  <w:sz w:val="20"/>
                  <w:u w:val="single"/>
                </w:rPr>
                <w:t xml:space="preserve">Press Release of CapsoVision, Inc, dated </w:t>
              </w:r>
            </w:hyperlink>
            <w:hyperlink w:anchor="cv-20260813xex991q22026ear.htm">
              <w:r>
                <w:rPr>
                  <w:rStyle w:val="InternetLink"/>
                  <w:rFonts w:ascii="Times New Roman;serif" w:hAnsi="Times New Roman;serif"/>
                  <w:b w:val="false"/>
                  <w:color w:val="000080"/>
                  <w:sz w:val="20"/>
                  <w:u w:val="single"/>
                </w:rPr>
                <w:t>August</w:t>
              </w:r>
            </w:hyperlink>
            <w:hyperlink w:anchor="cv-20260813xex991q22026ear.htm">
              <w:r>
                <w:rPr>
                  <w:rStyle w:val="InternetLink"/>
                  <w:rFonts w:ascii="Times New Roman;serif" w:hAnsi="Times New Roman;serif"/>
                  <w:b w:val="false"/>
                  <w:color w:val="000080"/>
                  <w:sz w:val="20"/>
                  <w:u w:val="single"/>
                </w:rPr>
                <w:t xml:space="preserve"> 1</w:t>
              </w:r>
            </w:hyperlink>
            <w:hyperlink w:anchor="cv-20260813xex991q22026ear.htm">
              <w:r>
                <w:rPr>
                  <w:rStyle w:val="InternetLink"/>
                  <w:rFonts w:ascii="Times New Roman;serif" w:hAnsi="Times New Roman;serif"/>
                  <w:b w:val="false"/>
                  <w:color w:val="000080"/>
                  <w:sz w:val="20"/>
                  <w:u w:val="single"/>
                </w:rPr>
                <w:t>3</w:t>
              </w:r>
            </w:hyperlink>
            <w:hyperlink w:anchor="cv-20260813xex991q22026ear.htm">
              <w:r>
                <w:rPr>
                  <w:rStyle w:val="InternetLink"/>
                  <w:rFonts w:ascii="Times New Roman;serif" w:hAnsi="Times New Roman;serif"/>
                  <w:b w:val="false"/>
                  <w:color w:val="000080"/>
                  <w:sz w:val="20"/>
                  <w:u w:val="single"/>
                </w:rPr>
                <w:t>, 2026.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 Certain personally identifiable information of this exhibit has been omitted pursuant to Item 601(a)(6) of Regulation S-K. </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6818" w:type="dxa"/>
        <w:jc w:val="left"/>
        <w:tblInd w:w="0" w:type="dxa"/>
        <w:tblLayout w:type="fixed"/>
        <w:tblCellMar>
          <w:top w:w="28" w:type="dxa"/>
          <w:left w:w="28" w:type="dxa"/>
          <w:bottom w:w="28" w:type="dxa"/>
          <w:right w:w="28" w:type="dxa"/>
        </w:tblCellMar>
      </w:tblPr>
      <w:tblGrid>
        <w:gridCol w:w="705"/>
        <w:gridCol w:w="621"/>
        <w:gridCol w:w="624"/>
        <w:gridCol w:w="303"/>
        <w:gridCol w:w="303"/>
        <w:gridCol w:w="303"/>
        <w:gridCol w:w="1156"/>
        <w:gridCol w:w="1156"/>
        <w:gridCol w:w="164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CAPSOVISION,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Kang-Huai (Johnny) Wang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Kang-Huai (Johnny) Wang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0" w:after="240"/>
        <w:jc w:val="center"/>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CapsoVision, Inc.</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Shares of Common Stock</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(par value $0.001 per share)</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color w:val="000000"/>
          <w:sz w:val="24"/>
        </w:rPr>
        <w:t>Controlled Equity Offering</w:t>
      </w:r>
      <w:r>
        <w:rPr>
          <w:rFonts w:ascii="Times New Roman;serif" w:hAnsi="Times New Roman;serif"/>
          <w:b/>
          <w:color w:val="000000"/>
          <w:sz w:val="13"/>
        </w:rPr>
        <w:t>SM</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Sales Agreement</w:t>
      </w: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val="false"/>
          <w:color w:val="000000"/>
          <w:sz w:val="24"/>
        </w:rPr>
      </w:pPr>
      <w:r>
        <w:rPr>
          <w:rFonts w:ascii="Times New Roman;serif" w:hAnsi="Times New Roman;serif"/>
          <w:b w:val="false"/>
          <w:color w:val="000000"/>
          <w:sz w:val="24"/>
        </w:rPr>
        <w:t>August 13, 2026</w:t>
      </w:r>
    </w:p>
    <w:p>
      <w:pPr>
        <w:pStyle w:val="TextBody"/>
        <w:bidi w:val="0"/>
        <w:spacing w:before="0" w:after="24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Cantor Fitzgerald &amp; Co.</w:t>
      </w:r>
    </w:p>
    <w:p>
      <w:pPr>
        <w:pStyle w:val="TextBody"/>
        <w:bidi w:val="0"/>
        <w:spacing w:lineRule="auto" w:line="268" w:before="0" w:after="0"/>
        <w:jc w:val="left"/>
        <w:rPr/>
      </w:pPr>
      <w:r>
        <w:rPr>
          <w:rFonts w:ascii="Times New Roman;serif" w:hAnsi="Times New Roman;serif"/>
          <w:b w:val="false"/>
          <w:color w:val="000000"/>
          <w:sz w:val="24"/>
        </w:rPr>
        <w:t>110 East 59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Street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10022</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24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CapsoVision, Inc.,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confirms its agreement (this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with Cantor Fitzgerald &amp; Co. (the “</w:t>
      </w:r>
      <w:r>
        <w:rPr>
          <w:rFonts w:ascii="Times New Roman;serif" w:hAnsi="Times New Roman;serif"/>
          <w:b/>
          <w:color w:val="000000"/>
          <w:sz w:val="24"/>
          <w:u w:val="single"/>
        </w:rPr>
        <w:t>Agent</w:t>
      </w:r>
      <w:r>
        <w:rPr>
          <w:color w:val="000000"/>
        </w:rPr>
        <w:t>”</w:t>
      </w:r>
      <w:r>
        <w:rPr>
          <w:rFonts w:ascii="Times New Roman;serif" w:hAnsi="Times New Roman;serif"/>
          <w:b w:val="false"/>
          <w:color w:val="000000"/>
          <w:sz w:val="24"/>
        </w:rPr>
        <w:t>), as follows: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Issuance and Sale of Shares</w:t>
      </w:r>
      <w:r>
        <w:rPr>
          <w:rFonts w:ascii="Times New Roman;serif" w:hAnsi="Times New Roman;serif"/>
          <w:b w:val="false"/>
          <w:color w:val="000000"/>
          <w:sz w:val="24"/>
        </w:rPr>
        <w:t>. The Company agrees that, from time to time during the term of this Agreement, on the terms and subject to the conditions set forth herein, it may issue and sell to or through the Agent, as sales agent or principal, shares of common stock (the “</w:t>
      </w:r>
      <w:r>
        <w:rPr>
          <w:rFonts w:ascii="Times New Roman;serif" w:hAnsi="Times New Roman;serif"/>
          <w:b/>
          <w:color w:val="000000"/>
          <w:sz w:val="24"/>
          <w:u w:val="single"/>
        </w:rPr>
        <w:t>Placement Shares</w:t>
      </w:r>
      <w:r>
        <w:rPr>
          <w:color w:val="000000"/>
        </w:rPr>
        <w:t>”</w:t>
      </w:r>
      <w:r>
        <w:rPr>
          <w:rFonts w:ascii="Times New Roman;serif" w:hAnsi="Times New Roman;serif"/>
          <w:b w:val="false"/>
          <w:color w:val="000000"/>
          <w:sz w:val="24"/>
        </w:rPr>
        <w:t>) of the Company, par value $0.001 per share (the “</w:t>
      </w:r>
      <w:r>
        <w:rPr>
          <w:rFonts w:ascii="Times New Roman;serif" w:hAnsi="Times New Roman;serif"/>
          <w:b/>
          <w:color w:val="000000"/>
          <w:sz w:val="24"/>
          <w:u w:val="single"/>
        </w:rPr>
        <w:t>Common Stock</w:t>
      </w:r>
      <w:r>
        <w:rPr>
          <w:color w:val="000000"/>
        </w:rPr>
        <w:t>”</w:t>
      </w:r>
      <w:r>
        <w:rPr>
          <w:rFonts w:ascii="Times New Roman;serif" w:hAnsi="Times New Roman;serif"/>
          <w:b w:val="false"/>
          <w:color w:val="000000"/>
          <w:sz w:val="24"/>
        </w:rPr>
        <w:t xml:space="preserve">), having an aggregate offering price of up to $100,000,000;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no event shall the Company issue or sell through the Agent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an ATM Prospectus (defined below) (the lesser of (a), (b), (c) and (d), the “</w:t>
      </w:r>
      <w:r>
        <w:rPr>
          <w:rFonts w:ascii="Times New Roman;serif" w:hAnsi="Times New Roman;serif"/>
          <w:b/>
          <w:color w:val="000000"/>
          <w:sz w:val="24"/>
          <w:u w:val="single"/>
        </w:rPr>
        <w:t>Maximum Amount</w:t>
      </w:r>
      <w:r>
        <w:rPr>
          <w:color w:val="000000"/>
        </w:rPr>
        <w:t>”</w:t>
      </w:r>
      <w:r>
        <w:rPr>
          <w:rFonts w:ascii="Times New Roman;serif" w:hAnsi="Times New Roman;serif"/>
          <w:b w:val="false"/>
          <w:color w:val="000000"/>
          <w:sz w:val="24"/>
        </w:rPr>
        <w:t xml:space="preserve">). Notwithstanding anything to the contrary contained herein, the parties hereto agree that compliance with the limitations set forth in this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on the amount of Placement Shares issued and sold under this Agreement shall be the sole responsibility of the Company and that the Agent shall have no obligation in connection with such compliance. The offer and sale of Placement Shares through the Agent will be effected pursuant to the Registration Statement (as defined below) to be filed by the Company and which has been, or will be, declared effective by the Securities and Exchange Commission (the “</w:t>
      </w:r>
      <w:r>
        <w:rPr>
          <w:rFonts w:ascii="Times New Roman;serif" w:hAnsi="Times New Roman;serif"/>
          <w:b/>
          <w:color w:val="000000"/>
          <w:sz w:val="24"/>
          <w:u w:val="single"/>
        </w:rPr>
        <w:t>Commission</w:t>
      </w:r>
      <w:r>
        <w:rPr>
          <w:color w:val="000000"/>
        </w:rPr>
        <w:t>”</w:t>
      </w:r>
      <w:r>
        <w:rPr>
          <w:rFonts w:ascii="Times New Roman;serif" w:hAnsi="Times New Roman;serif"/>
          <w:b w:val="false"/>
          <w:color w:val="000000"/>
          <w:sz w:val="24"/>
        </w:rPr>
        <w:t>), although nothing in this Agreement shall be construed as requiring the Company to issue Placement Shares.</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The Company has prepared and will file, in accordance with the provisions of the Securities Act of 1933, as amended , and the rules and regulations thereunder (the “</w:t>
      </w:r>
      <w:r>
        <w:rPr>
          <w:rFonts w:ascii="Times New Roman;serif" w:hAnsi="Times New Roman;serif"/>
          <w:b/>
          <w:color w:val="000000"/>
          <w:sz w:val="24"/>
          <w:u w:val="single"/>
        </w:rPr>
        <w:t>Securities Act</w:t>
      </w:r>
      <w:r>
        <w:rPr>
          <w:color w:val="000000"/>
        </w:rPr>
        <w:t>”</w:t>
      </w:r>
      <w:r>
        <w:rPr>
          <w:rFonts w:ascii="Times New Roman;serif" w:hAnsi="Times New Roman;serif"/>
          <w:b w:val="false"/>
          <w:color w:val="000000"/>
          <w:sz w:val="24"/>
        </w:rPr>
        <w:t xml:space="preserve">), with the Commission a registration statement on Form S-3, including a base prospectus, relating to certain securities, including the Placement Shares to be issued from time to time by the Company, and which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incorporates by reference documents that the Company has filed or will file in accordance with the provisions of the Securities Exchange Act of 1934, as amended, and the rules and regulations thereunder (the “</w:t>
      </w:r>
      <w:r>
        <w:rPr>
          <w:rFonts w:ascii="Times New Roman;serif" w:hAnsi="Times New Roman;serif"/>
          <w:b/>
          <w:color w:val="000000"/>
          <w:sz w:val="24"/>
          <w:u w:val="single"/>
        </w:rPr>
        <w:t>Exchange Act</w:t>
      </w:r>
      <w:r>
        <w:rPr>
          <w:color w:val="000000"/>
        </w:rPr>
        <w:t>”</w:t>
      </w:r>
      <w:r>
        <w:rPr>
          <w:rFonts w:ascii="Times New Roman;serif" w:hAnsi="Times New Roman;serif"/>
          <w:b w:val="false"/>
          <w:color w:val="000000"/>
          <w:sz w:val="24"/>
        </w:rPr>
        <w:t>). The Company has prepared a prospectus supplement to the base prospectus included as part of the registration statement, which prospectus supplement relates to the Placement Shares to be issued from time to time by the Company (the "ATM Prospectus"). Except where the context otherwise requires, such registration statement(s), including all documents filed as part thereof or incorporated by reference therein, and including any information contained in any Prospectus (as defined below) subsequently filed with the Commission pursuant to Rule 424(b) under the Securities Act or deemed to be a part of such registration statement pursuant to Rule 430B of the Securities Act, and any one or more additional effective registration statements on Form S-3 from time to time that will contain a base prospectus and, if applicable, a related prospectus or prospectus supplement (which shall be an ATM Prospectus) with respect to the Placement Shares, is herein called the “</w:t>
      </w:r>
      <w:r>
        <w:rPr>
          <w:rFonts w:ascii="Times New Roman;serif" w:hAnsi="Times New Roman;serif"/>
          <w:b/>
          <w:color w:val="000000"/>
          <w:sz w:val="24"/>
          <w:u w:val="single"/>
        </w:rPr>
        <w:t>Registration Statement</w:t>
      </w:r>
      <w:r>
        <w:rPr>
          <w:rFonts w:ascii="Times New Roman;serif" w:hAnsi="Times New Roman;serif"/>
          <w:b w:val="false"/>
          <w:color w:val="000000"/>
          <w:sz w:val="24"/>
        </w:rPr>
        <w:t>.” The Registration Statement at the time it originally became effective is herein called the “</w:t>
      </w:r>
      <w:r>
        <w:rPr>
          <w:rFonts w:ascii="Times New Roman;serif" w:hAnsi="Times New Roman;serif"/>
          <w:b/>
          <w:color w:val="000000"/>
          <w:sz w:val="24"/>
        </w:rPr>
        <w:t>Original Registration Statement</w:t>
      </w:r>
      <w:r>
        <w:rPr>
          <w:rFonts w:ascii="Times New Roman;serif" w:hAnsi="Times New Roman;serif"/>
          <w:b w:val="false"/>
          <w:color w:val="000000"/>
          <w:sz w:val="24"/>
        </w:rPr>
        <w:t>.” The base prospectus and the ATM Prospectus, including all documents incorporated therein by reference, included in the Registration Statement, as it may be supplemented by one or more prospectus supplements relating to the Placement Shares to be issued from time to time by the Company, in the form in which such prospectus supplement(s) have most recently been filed by the Company with the Commission pursuant to Rule 424(b) under the Securities Act, together with the then issued Issuer Free Writing Prospectus(es), is herein called the “</w:t>
      </w:r>
      <w:r>
        <w:rPr>
          <w:rFonts w:ascii="Times New Roman;serif" w:hAnsi="Times New Roman;serif"/>
          <w:b/>
          <w:color w:val="000000"/>
          <w:sz w:val="24"/>
          <w:u w:val="single"/>
        </w:rPr>
        <w:t>Prospectus</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Any reference herein to the Registration Statement, the Prospectus or any Issuer Free Writing Prospectus shall be deemed to refer to and include the documents, if any, incorporated by reference therein (the “</w:t>
      </w:r>
      <w:r>
        <w:rPr>
          <w:rFonts w:ascii="Times New Roman;serif" w:hAnsi="Times New Roman;serif"/>
          <w:b/>
          <w:color w:val="000000"/>
          <w:sz w:val="24"/>
          <w:u w:val="single"/>
        </w:rPr>
        <w:t>Incorporated Documents</w:t>
      </w:r>
      <w:r>
        <w:rPr>
          <w:color w:val="000000"/>
        </w:rPr>
        <w:t>”</w:t>
      </w:r>
      <w:r>
        <w:rPr>
          <w:rFonts w:ascii="Times New Roman;serif" w:hAnsi="Times New Roman;serif"/>
          <w:b w:val="false"/>
          <w:color w:val="000000"/>
          <w:sz w:val="24"/>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serif" w:hAnsi="Times New Roman;serif"/>
          <w:b/>
          <w:color w:val="000000"/>
          <w:sz w:val="24"/>
          <w:u w:val="single"/>
        </w:rPr>
        <w:t>EDGAR</w:t>
      </w:r>
      <w:r>
        <w:rPr>
          <w:color w:val="000000"/>
        </w:rPr>
        <w:t>”</w:t>
      </w:r>
      <w:r>
        <w:rPr>
          <w:rFonts w:ascii="Times New Roman;serif" w:hAnsi="Times New Roman;serif"/>
          <w:b w:val="false"/>
          <w:color w:val="000000"/>
          <w:sz w:val="24"/>
        </w:rPr>
        <w:t>). The Company’s obligations under this Agreement to furnish, provide, deliver or make available (and all other references of like import) copies of any filing, report or statement shall be deemed satisfied to the extent the same has been filed with the Commission through EDGAR or any successor system.</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prepared in connection with any offering, sale or private placement of any Placement Shares by the Agent outside of the United States.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Placements</w:t>
      </w:r>
      <w:r>
        <w:rPr>
          <w:rFonts w:ascii="Times New Roman;serif" w:hAnsi="Times New Roman;serif"/>
          <w:b w:val="false"/>
          <w:color w:val="000000"/>
          <w:sz w:val="24"/>
        </w:rPr>
        <w:t>. Each time that the Company wishes to issue and sell Placement Shares hereunder (each, a “</w:t>
      </w:r>
      <w:r>
        <w:rPr>
          <w:rFonts w:ascii="Times New Roman;serif" w:hAnsi="Times New Roman;serif"/>
          <w:b/>
          <w:color w:val="000000"/>
          <w:sz w:val="24"/>
          <w:u w:val="single"/>
        </w:rPr>
        <w:t>Placement</w:t>
      </w:r>
      <w:r>
        <w:rPr>
          <w:color w:val="000000"/>
        </w:rPr>
        <w:t>”</w:t>
      </w:r>
      <w:r>
        <w:rPr>
          <w:rFonts w:ascii="Times New Roman;serif" w:hAnsi="Times New Roman;serif"/>
          <w:b w:val="false"/>
          <w:color w:val="000000"/>
          <w:sz w:val="24"/>
        </w:rPr>
        <w:t>), it will notify the Agent by email notice (or other method mutually agreed to in writing by the parties) of the number of Placement Shares to be issued, the time period during which sales are requested to be made, any limitation on the number of Placement Shares that may be sold in any one day and any minimum price below which sales of Placement Shares may not be made (a “</w:t>
      </w:r>
      <w:r>
        <w:rPr>
          <w:rFonts w:ascii="Times New Roman;serif" w:hAnsi="Times New Roman;serif"/>
          <w:b/>
          <w:color w:val="000000"/>
          <w:sz w:val="24"/>
          <w:u w:val="single"/>
        </w:rPr>
        <w:t>Placement Notice</w:t>
      </w:r>
      <w:r>
        <w:rPr>
          <w:color w:val="000000"/>
        </w:rPr>
        <w:t>”</w:t>
      </w:r>
      <w:r>
        <w:rPr>
          <w:rFonts w:ascii="Times New Roman;serif" w:hAnsi="Times New Roman;serif"/>
          <w:b w:val="false"/>
          <w:color w:val="000000"/>
          <w:sz w:val="24"/>
        </w:rPr>
        <w:t xml:space="preserve">), the form of which is attached hereto as </w:t>
      </w:r>
      <w:r>
        <w:rPr>
          <w:rFonts w:ascii="Times New Roman;serif" w:hAnsi="Times New Roman;serif"/>
          <w:b w:val="false"/>
          <w:color w:val="000000"/>
          <w:sz w:val="24"/>
          <w:u w:val="single"/>
        </w:rPr>
        <w:t>Schedule 1</w:t>
      </w:r>
      <w:r>
        <w:rPr>
          <w:rFonts w:ascii="Times New Roman;serif" w:hAnsi="Times New Roman;serif"/>
          <w:b w:val="false"/>
          <w:color w:val="000000"/>
          <w:sz w:val="24"/>
        </w:rPr>
        <w:t xml:space="preserve">. The Placement Notice shall originate from any of the individuals authorized to act on behalf of the Company, which individuals have been identified by the Company on </w:t>
      </w:r>
      <w:r>
        <w:rPr>
          <w:rFonts w:ascii="Times New Roman;serif" w:hAnsi="Times New Roman;serif"/>
          <w:b w:val="false"/>
          <w:color w:val="000000"/>
          <w:sz w:val="24"/>
          <w:u w:val="single"/>
        </w:rPr>
        <w:t>Schedule 3</w:t>
      </w:r>
      <w:r>
        <w:rPr>
          <w:rFonts w:ascii="Times New Roman;serif" w:hAnsi="Times New Roman;serif"/>
          <w:b w:val="false"/>
          <w:color w:val="000000"/>
          <w:sz w:val="24"/>
        </w:rPr>
        <w:t xml:space="preserve">, (with a copy to each of the other individuals identified by the Company on such schedule), and shall be addressed to each of the individuals identified by the Agent on </w:t>
      </w:r>
      <w:r>
        <w:rPr>
          <w:rFonts w:ascii="Times New Roman;serif" w:hAnsi="Times New Roman;serif"/>
          <w:b w:val="false"/>
          <w:color w:val="000000"/>
          <w:sz w:val="24"/>
          <w:u w:val="single"/>
        </w:rPr>
        <w:t>Schedule 3</w:t>
      </w:r>
      <w:r>
        <w:rPr>
          <w:rFonts w:ascii="Times New Roman;serif" w:hAnsi="Times New Roman;serif"/>
          <w:b w:val="false"/>
          <w:color w:val="000000"/>
          <w:sz w:val="24"/>
        </w:rPr>
        <w:t xml:space="preserve">, as such </w:t>
      </w:r>
      <w:r>
        <w:rPr>
          <w:rFonts w:ascii="Times New Roman;serif" w:hAnsi="Times New Roman;serif"/>
          <w:b w:val="false"/>
          <w:color w:val="000000"/>
          <w:sz w:val="24"/>
          <w:u w:val="single"/>
        </w:rPr>
        <w:t>Schedule 3</w:t>
      </w:r>
      <w:r>
        <w:rPr>
          <w:color w:val="000000"/>
        </w:rPr>
        <w:t xml:space="preserve"> </w:t>
      </w:r>
      <w:r>
        <w:rPr>
          <w:rFonts w:ascii="Times New Roman;serif" w:hAnsi="Times New Roman;serif"/>
          <w:b w:val="false"/>
          <w:color w:val="000000"/>
          <w:sz w:val="24"/>
        </w:rPr>
        <w:t xml:space="preserve">may be updated by either party from time to time by sending a written notice containing a revised </w:t>
      </w:r>
      <w:r>
        <w:rPr>
          <w:rFonts w:ascii="Times New Roman;serif" w:hAnsi="Times New Roman;serif"/>
          <w:b w:val="false"/>
          <w:color w:val="000000"/>
          <w:sz w:val="24"/>
          <w:u w:val="single"/>
        </w:rPr>
        <w:t>Schedule 3</w:t>
      </w:r>
      <w:r>
        <w:rPr>
          <w:color w:val="000000"/>
        </w:rPr>
        <w:t xml:space="preserve"> </w:t>
      </w:r>
      <w:r>
        <w:rPr>
          <w:rFonts w:ascii="Times New Roman;serif" w:hAnsi="Times New Roman;serif"/>
          <w:b w:val="false"/>
          <w:color w:val="000000"/>
          <w:sz w:val="24"/>
        </w:rPr>
        <w:t xml:space="preserve">to the other party in the manner provided in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The Placement Notice shall be effective unless and until (i) in accordance with the notice requirements set forth in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the Agent declines in writing to accept the terms contained therein for any reason, in its sole discretion, (ii) all of the Placement Shares authorized to be sold under such Placement Notice have been sold, (iii) in accordance with the notice requirements set forth in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the Company suspends or terminates the Placement Notice for any reason in its sole discretion, (iv) the Company issues a subsequent Placement Notice with parameters superseding those on the earlier dated Placement Notice, (v) in accordance with the notice requirements set forth in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the Company suspends sales under the Placement Notice for any reason in its sole discretion, or (vi) this Agreement has been terminated under the provisions of </w:t>
      </w:r>
      <w:r>
        <w:rPr>
          <w:rFonts w:ascii="Times New Roman;serif" w:hAnsi="Times New Roman;serif"/>
          <w:b w:val="false"/>
          <w:color w:val="000000"/>
          <w:sz w:val="24"/>
          <w:u w:val="single"/>
        </w:rPr>
        <w:t>Section 12</w:t>
      </w:r>
      <w:r>
        <w:rPr>
          <w:rFonts w:ascii="Times New Roman;serif" w:hAnsi="Times New Roman;serif"/>
          <w:b w:val="false"/>
          <w:color w:val="000000"/>
          <w:sz w:val="24"/>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serif" w:hAnsi="Times New Roman;serif"/>
          <w:b w:val="false"/>
          <w:color w:val="000000"/>
          <w:sz w:val="24"/>
          <w:u w:val="single"/>
        </w:rPr>
        <w:t>Schedule 2</w:t>
      </w:r>
      <w:r>
        <w:rPr>
          <w:rFonts w:ascii="Times New Roman;serif" w:hAnsi="Times New Roman;serif"/>
          <w:b w:val="false"/>
          <w:color w:val="000000"/>
          <w:sz w:val="24"/>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 Subject to the provisions of </w:t>
      </w:r>
      <w:r>
        <w:rPr>
          <w:rFonts w:ascii="Times New Roman;serif" w:hAnsi="Times New Roman;serif"/>
          <w:b w:val="false"/>
          <w:color w:val="000000"/>
          <w:sz w:val="24"/>
          <w:u w:val="single"/>
        </w:rPr>
        <w:t>Section 5(a)</w:t>
      </w:r>
      <w:r>
        <w:rPr>
          <w:rFonts w:ascii="Times New Roman;serif" w:hAnsi="Times New Roman;serif"/>
          <w:b w:val="false"/>
          <w:color w:val="000000"/>
          <w:sz w:val="24"/>
        </w:rPr>
        <w:t>, the Agent, for the period specified in the Placement Notice, will use its commercially reasonable efforts consistent with its normal trading and sales practices and applicable state and federal laws, rules and regulations and the rules of The Nasdaq Capital Market (the “</w:t>
      </w:r>
      <w:r>
        <w:rPr>
          <w:rFonts w:ascii="Times New Roman;serif" w:hAnsi="Times New Roman;serif"/>
          <w:b/>
          <w:color w:val="000000"/>
          <w:sz w:val="24"/>
          <w:u w:val="single"/>
        </w:rPr>
        <w:t>Exchange</w:t>
      </w:r>
      <w:r>
        <w:rPr>
          <w:color w:val="000000"/>
        </w:rPr>
        <w:t>”</w:t>
      </w:r>
      <w:r>
        <w:rPr>
          <w:rFonts w:ascii="Times New Roman;serif" w:hAnsi="Times New Roman;serif"/>
          <w:b w:val="false"/>
          <w:color w:val="000000"/>
          <w:sz w:val="24"/>
        </w:rPr>
        <w:t xml:space="preserve">), to sell the Placement Shares up to the amount specified in, and otherwise in accordance with the terms of, such Placement Notice. </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Sale of Placement Shares by the Agent</w:t>
      </w:r>
      <w:r>
        <w:rPr>
          <w:rFonts w:ascii="Times New Roman;serif" w:hAnsi="Times New Roman;serif"/>
          <w:b w:val="false"/>
          <w:color w:val="000000"/>
          <w:sz w:val="24"/>
        </w:rPr>
        <w:t xml:space="preserv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gross proceeds generated from the Placement Shares sold, volume-weighted average price of the Placement Shares sold, the compensation payable by the Company to the Agent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with respect to such sales, and the Net Proceeds (as defined below) payable to the Company, with an itemization of the deductions made by the Agent (as set forth in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from the gross proceeds that it receives from such sales. Subject to the terms of the Placement Notice, the Agent may sell Placement Shares (i) in privately negotiated transactions with the written consent of the Company; (ii) as block transactions; or (iii) by any other method permitted by law deemed to be an “at the market offering” as defined in Rule 415(a)(4) of the Securities Act, including sales made directly on the Exchange or sales made into any other existing trading market of the Common Stock. The Agent shall not purchase Placement Shares for its own account as principal unless expressly authorized to do so by the Company in the applicable Placement Notice. The Company acknowledges and agrees that (i) there can be no assurance that the Agent will </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to sell such Placement Shares as required under this Agreement and (iii) the Agent shall be under no obligation to purchase Placement Shares on a principal basis pursuant to this Agreement. “</w:t>
      </w:r>
      <w:r>
        <w:rPr>
          <w:rFonts w:ascii="Times New Roman;serif" w:hAnsi="Times New Roman;serif"/>
          <w:b/>
          <w:color w:val="000000"/>
          <w:sz w:val="24"/>
          <w:u w:val="single"/>
        </w:rPr>
        <w:t>Trading Day</w:t>
      </w:r>
      <w:r>
        <w:rPr>
          <w:color w:val="000000"/>
        </w:rPr>
        <w:t xml:space="preserve">” </w:t>
      </w:r>
      <w:r>
        <w:rPr>
          <w:rFonts w:ascii="Times New Roman;serif" w:hAnsi="Times New Roman;serif"/>
          <w:b w:val="false"/>
          <w:color w:val="000000"/>
          <w:sz w:val="24"/>
        </w:rPr>
        <w:t>means any day on which Common Stock is traded on the Exchange.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Suspension of Sales</w:t>
      </w:r>
      <w:r>
        <w:rPr>
          <w:rFonts w:ascii="Times New Roman;serif" w:hAnsi="Times New Roman;serif"/>
          <w:b w:val="false"/>
          <w:color w:val="000000"/>
          <w:sz w:val="24"/>
        </w:rPr>
        <w:t xml:space="preserve">. The Company or the Agent may, upon notice to the other party in writing (including by email correspondence to each of the individuals of the other party set forth on </w:t>
      </w:r>
      <w:r>
        <w:rPr>
          <w:rFonts w:ascii="Times New Roman;serif" w:hAnsi="Times New Roman;serif"/>
          <w:b w:val="false"/>
          <w:color w:val="000000"/>
          <w:sz w:val="24"/>
          <w:u w:val="single"/>
        </w:rPr>
        <w:t>Schedule 3</w:t>
      </w:r>
      <w:r>
        <w:rPr>
          <w:rFonts w:ascii="Times New Roman;serif" w:hAnsi="Times New Roman;serif"/>
          <w:b w:val="false"/>
          <w:color w:val="000000"/>
          <w:sz w:val="24"/>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serif" w:hAnsi="Times New Roman;serif"/>
          <w:b w:val="false"/>
          <w:color w:val="000000"/>
          <w:sz w:val="24"/>
          <w:u w:val="single"/>
        </w:rPr>
        <w:t>Schedule 3</w:t>
      </w:r>
      <w:r>
        <w:rPr>
          <w:rFonts w:ascii="Times New Roman;serif" w:hAnsi="Times New Roman;serif"/>
          <w:b w:val="false"/>
          <w:color w:val="000000"/>
          <w:sz w:val="24"/>
        </w:rPr>
        <w:t>), suspend any sale of Placement Shares (a “</w:t>
      </w:r>
      <w:r>
        <w:rPr>
          <w:rFonts w:ascii="Times New Roman;serif" w:hAnsi="Times New Roman;serif"/>
          <w:b/>
          <w:color w:val="000000"/>
          <w:sz w:val="24"/>
          <w:u w:val="single"/>
        </w:rPr>
        <w:t>Suspension</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serif" w:hAnsi="Times New Roman;serif"/>
          <w:b w:val="false"/>
          <w:color w:val="000000"/>
          <w:sz w:val="24"/>
          <w:u w:val="single"/>
        </w:rPr>
        <w:t>Sections 7(l)</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7(m)</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7(n)</w:t>
      </w:r>
      <w:r>
        <w:rPr>
          <w:color w:val="000000"/>
        </w:rPr>
        <w:t xml:space="preserve"> </w:t>
      </w:r>
      <w:r>
        <w:rPr>
          <w:rFonts w:ascii="Times New Roman;serif" w:hAnsi="Times New Roman;serif"/>
          <w:b w:val="false"/>
          <w:color w:val="000000"/>
          <w:sz w:val="24"/>
        </w:rPr>
        <w:t xml:space="preserve">with respect to the delivery of certificates, opinions, or comfort letters to the Agent, shall be waived. Each of the parties agrees that no such notice under this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shall be effective against any other party unless it is made to one of the individuals identified on </w:t>
      </w:r>
      <w:r>
        <w:rPr>
          <w:rFonts w:ascii="Times New Roman;serif" w:hAnsi="Times New Roman;serif"/>
          <w:b w:val="false"/>
          <w:color w:val="000000"/>
          <w:sz w:val="24"/>
          <w:u w:val="single"/>
        </w:rPr>
        <w:t>Schedule 3</w:t>
      </w:r>
      <w:r>
        <w:rPr>
          <w:rFonts w:ascii="Times New Roman;serif" w:hAnsi="Times New Roman;serif"/>
          <w:b w:val="false"/>
          <w:color w:val="000000"/>
          <w:sz w:val="24"/>
        </w:rPr>
        <w:t xml:space="preserve">, as such Schedule may be updated by either party from time to time by sending a written notice containing a revised </w:t>
      </w:r>
      <w:r>
        <w:rPr>
          <w:rFonts w:ascii="Times New Roman;serif" w:hAnsi="Times New Roman;serif"/>
          <w:b w:val="false"/>
          <w:color w:val="000000"/>
          <w:sz w:val="24"/>
          <w:u w:val="single"/>
        </w:rPr>
        <w:t>Schedule 3</w:t>
      </w:r>
      <w:r>
        <w:rPr>
          <w:color w:val="000000"/>
        </w:rPr>
        <w:t xml:space="preserve"> </w:t>
      </w:r>
      <w:r>
        <w:rPr>
          <w:rFonts w:ascii="Times New Roman;serif" w:hAnsi="Times New Roman;serif"/>
          <w:b w:val="false"/>
          <w:color w:val="000000"/>
          <w:sz w:val="24"/>
        </w:rPr>
        <w:t xml:space="preserve">to the other party in the manner provided in </w:t>
      </w:r>
      <w:r>
        <w:rPr>
          <w:rFonts w:ascii="Times New Roman;serif" w:hAnsi="Times New Roman;serif"/>
          <w:b w:val="false"/>
          <w:color w:val="000000"/>
          <w:sz w:val="24"/>
          <w:u w:val="single"/>
        </w:rPr>
        <w:t>Section 13</w:t>
      </w:r>
      <w:r>
        <w:rPr>
          <w:rFonts w:ascii="Times New Roman;serif" w:hAnsi="Times New Roman;serif"/>
          <w:b w:val="false"/>
          <w:color w:val="000000"/>
          <w:sz w:val="24"/>
        </w:rPr>
        <w:t>. The party that issued a Suspension notice shall notify the other party in writing of the Trading Day on which the Suspension shall expire not later than twenty-four (24) hours prior to such Trading Day. 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Settlement; Delivery to the Agent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Settlement of Placement Shares</w:t>
      </w:r>
      <w:r>
        <w:rPr>
          <w:rFonts w:ascii="Times New Roman;serif" w:hAnsi="Times New Roman;serif"/>
          <w:b w:val="false"/>
          <w:i/>
          <w:color w:val="000000"/>
          <w:sz w:val="24"/>
        </w:rPr>
        <w:t xml:space="preserve">. </w:t>
      </w:r>
      <w:r>
        <w:rPr>
          <w:rFonts w:ascii="Times New Roman;serif" w:hAnsi="Times New Roman;serif"/>
          <w:b w:val="false"/>
          <w:color w:val="000000"/>
          <w:sz w:val="24"/>
        </w:rPr>
        <w:t>Unless otherwise specified in the applicable Placement Notice, settlement for sales of Placement Shares will occur on the first (1st) Trading Day (or such earlier day as is industry practice or as is required for regular-way trading) following the date on which such sales are made (each, a “</w:t>
      </w:r>
      <w:r>
        <w:rPr>
          <w:rFonts w:ascii="Times New Roman;serif" w:hAnsi="Times New Roman;serif"/>
          <w:b/>
          <w:color w:val="000000"/>
          <w:sz w:val="24"/>
          <w:u w:val="single"/>
        </w:rPr>
        <w:t>Settlement Date</w:t>
      </w:r>
      <w:r>
        <w:rPr>
          <w:color w:val="000000"/>
        </w:rPr>
        <w:t>”</w:t>
      </w:r>
      <w:r>
        <w:rPr>
          <w:rFonts w:ascii="Times New Roman;serif" w:hAnsi="Times New Roman;serif"/>
          <w:b w:val="false"/>
          <w:color w:val="000000"/>
          <w:sz w:val="24"/>
        </w:rPr>
        <w:t>). The amount of proceeds to be delivered to the Company on a Settlement Date against receipt of the Placement Shares sold (the “</w:t>
      </w:r>
      <w:r>
        <w:rPr>
          <w:rFonts w:ascii="Times New Roman;serif" w:hAnsi="Times New Roman;serif"/>
          <w:b/>
          <w:color w:val="000000"/>
          <w:sz w:val="24"/>
          <w:u w:val="single"/>
        </w:rPr>
        <w:t>Net Proceeds</w:t>
      </w:r>
      <w:r>
        <w:rPr>
          <w:color w:val="000000"/>
        </w:rPr>
        <w:t>”</w:t>
      </w:r>
      <w:r>
        <w:rPr>
          <w:rFonts w:ascii="Times New Roman;serif" w:hAnsi="Times New Roman;serif"/>
          <w:b w:val="false"/>
          <w:color w:val="000000"/>
          <w:sz w:val="24"/>
        </w:rPr>
        <w:t xml:space="preserve">) will be equal to the aggregate sales price received by the Agent, after deduction for (i) the Agent’s commission, discount or other compensation for such sales payable by the Company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hereof, (ii) any other amounts due and payable by the Company to the Agent hereunder pursuant to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hereof and (iii) any transaction fees imposed by any Governmental Authority in respect of such sales that are paid by the Agent.</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Delivery of Placement Shares</w:t>
      </w:r>
      <w:r>
        <w:rPr>
          <w:rFonts w:ascii="Times New Roman;serif" w:hAnsi="Times New Roman;serif"/>
          <w:b w:val="false"/>
          <w:color w:val="000000"/>
          <w:sz w:val="24"/>
        </w:rPr>
        <w:t>.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(1) Trading Day prior to the Settlement Date) at The Depository Trust Company through its Deposit and Withdrawal at Custodian System ("DWAC")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Agent will be responsible for providing DWAC instructions or instructions for delivery by other means with regard to the transfer of the Placement Shares being sold.</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The Company agrees that if the Company, or its transfer agent (if applicable), defaults in its obligation to deliver Placement Shares on a Settlement Date through no fault of the Agent, in addition to and in no way limiting the rights and obligations set forth in </w:t>
      </w:r>
      <w:r>
        <w:rPr>
          <w:rFonts w:ascii="Times New Roman;serif" w:hAnsi="Times New Roman;serif"/>
          <w:b w:val="false"/>
          <w:color w:val="000000"/>
          <w:sz w:val="24"/>
          <w:u w:val="single"/>
        </w:rPr>
        <w:t>Section 10(a)</w:t>
      </w:r>
      <w:r>
        <w:rPr>
          <w:color w:val="000000"/>
        </w:rPr>
        <w:t xml:space="preserve"> </w:t>
      </w:r>
      <w:r>
        <w:rPr>
          <w:rFonts w:ascii="Times New Roman;serif" w:hAnsi="Times New Roman;serif"/>
          <w:b w:val="false"/>
          <w:color w:val="000000"/>
          <w:sz w:val="24"/>
        </w:rPr>
        <w:t>hereto, the Company will (i) hold the Agent harmless against any loss, claim, damage, or reasonable and documented expense (including reasonable and documented legal fees and expenses), as incurred, arising out of or in connection with such default by the Company or its transfer agent (as applicable), (ii) pay to the Agent any commission, discount, or other compensation to which it would otherwise have been entitled absent such default and (iii) take all necessary action to cause the full amount of any Net Proceeds that were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w:t>
      </w:r>
    </w:p>
    <w:p>
      <w:pPr>
        <w:pStyle w:val="TextBody"/>
        <w:bidi w:val="0"/>
        <w:spacing w:lineRule="auto" w:line="268" w:before="0" w:after="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Denominations; Registration</w:t>
      </w:r>
      <w:r>
        <w:rPr>
          <w:rFonts w:ascii="Times New Roman;serif" w:hAnsi="Times New Roman;serif"/>
          <w:b w:val="false"/>
          <w:i/>
          <w:color w:val="000000"/>
          <w:sz w:val="24"/>
        </w:rPr>
        <w:t xml:space="preserve">. </w:t>
      </w:r>
      <w:r>
        <w:rPr>
          <w:rFonts w:ascii="Times New Roman;serif" w:hAnsi="Times New Roman;serif"/>
          <w:b w:val="false"/>
          <w:color w:val="000000"/>
          <w:sz w:val="24"/>
        </w:rPr>
        <w:t>Certificates for the Placement Shares, if any, shall be in such denominations and registered in such names as the Agent may request in writing at least one Business Day (as defined below) before the applicable Settlement Date. The certificates for the Placement Shares, if any, will be made available by the Company for examination and packaging by the Agent in The City of New York not later than noon (New York time) on the Business Day prior to the applicable Settlement Date. The Company and the Agent each acknowledge and agree that Placement Shares shall, unless agreed to by the Company and the Agent or required by applicable law, not be issued in certificated form.</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Limitations on Offering Size</w:t>
      </w:r>
      <w:r>
        <w:rPr>
          <w:rFonts w:ascii="Times New Roman;serif" w:hAnsi="Times New Roman;serif"/>
          <w:b w:val="false"/>
          <w:i/>
          <w:color w:val="000000"/>
          <w:sz w:val="24"/>
        </w:rPr>
        <w:t xml:space="preserve">. </w:t>
      </w:r>
      <w:r>
        <w:rPr>
          <w:rFonts w:ascii="Times New Roman;serif" w:hAnsi="Times New Roman;serif"/>
          <w:b w:val="false"/>
          <w:color w:val="000000"/>
          <w:sz w:val="24"/>
        </w:rPr>
        <w:t>Under no circumstances shall the Company cause or request the offer or sale of any Placement Shares if, after giving effect to the sale of such Placement Shares, the aggregate gross sales proceeds of Placement Shares sold pursuant to this Agreement would exceed the lesser of (A) the Maximum Amount and (B) the amount authorized from time to time to be issued and sold under this Agreement by the Company’s board of directors, a duly authorized committee thereof or a duly authorized executive committee (such entity, the “</w:t>
      </w:r>
      <w:r>
        <w:rPr>
          <w:rFonts w:ascii="Times New Roman;serif" w:hAnsi="Times New Roman;serif"/>
          <w:b/>
          <w:color w:val="000000"/>
          <w:sz w:val="24"/>
          <w:u w:val="single"/>
        </w:rPr>
        <w:t>Company Authorization Body</w:t>
      </w:r>
      <w:r>
        <w:rPr>
          <w:color w:val="000000"/>
        </w:rPr>
        <w:t>”</w:t>
      </w:r>
      <w:r>
        <w:rPr>
          <w:rFonts w:ascii="Times New Roman;serif" w:hAnsi="Times New Roman;serif"/>
          <w:b w:val="false"/>
          <w:color w:val="000000"/>
          <w:sz w:val="24"/>
        </w:rPr>
        <w:t>). Under no circumstances shall the Company cause or request the offer or sale of any Placement Shares pursuant to this Agreement at a price lower than the minimum price authorized from time to time by the Company Authorization Body.</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The Company represents and warrants to, and agrees with the Agent that as of the date of this Agreement and as of each Applicable Time (as defined below), unless such representation, warranty or agreement specifies a different time:</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Registration Statement and Prospectus</w:t>
      </w:r>
      <w:r>
        <w:rPr>
          <w:rFonts w:ascii="Times New Roman;serif" w:hAnsi="Times New Roman;serif"/>
          <w:b w:val="false"/>
          <w:color w:val="000000"/>
          <w:sz w:val="24"/>
        </w:rPr>
        <w:t xml:space="preserve">. The Company and the transactions contemplated by this Agreement meet the requirements for and comply with the applicable conditions set forth in Form S-3 (including General Instructions I.A and I.B) under the Securities Act. The Registration Statement has been or will be filed with the Commission and has been or will be declared effective by the Commission under the Securities Act prior to the issuance of any Placement Notices by the Company. Prior to the delivery of the first Placement Notice and as of each Applicable Time thereafter, the Registration Statement is and will be effective. The ATM Prospectus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in all material respects or filed. Copies of the Registration Statement, the Prospectus, and any such </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amendments or supplements and all documents incorporated by reference therein that were filed with the Commission on or prior to the date of this Agreement have been delivered, or are available through EDGAR or any successor system,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 has consented, any such consent not to be unreasonably withheld, conditioned or delayed.</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 Misstatement or Omission</w:t>
      </w:r>
      <w:r>
        <w:rPr>
          <w:rFonts w:ascii="Times New Roman;serif" w:hAnsi="Times New Roman;serif"/>
          <w:b w:val="false"/>
          <w:color w:val="000000"/>
          <w:sz w:val="24"/>
        </w:rPr>
        <w:t xml:space="preserve">.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Registration Statement or the Prospectus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in writing specifically for use in the preparation thereof, it being understood and agreed that the only such information furnished by the Agent to the Company consists of the Agent Information (as defined below). </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Conformity with the Securities Act and Exchange Act</w:t>
      </w:r>
      <w:r>
        <w:rPr>
          <w:rFonts w:ascii="Times New Roman;serif" w:hAnsi="Times New Roman;serif"/>
          <w:b w:val="false"/>
          <w:color w:val="000000"/>
          <w:sz w:val="24"/>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Exchange Matters</w:t>
      </w:r>
      <w:r>
        <w:rPr>
          <w:rFonts w:ascii="Times New Roman;serif" w:hAnsi="Times New Roman;serif"/>
          <w:b w:val="false"/>
          <w:color w:val="000000"/>
          <w:sz w:val="24"/>
        </w:rPr>
        <w:t>. The Company is subject to and in compliance in all material respects with the reporting requirements of Section 13 or Section 15(d) of the Exchange Act. The Common Stock is registered pursuant to Section 12(b) of the Exchange Act and is currently listed on the Exchange. The Company has taken no action designed to, or reasonably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 The Company has filed a Notification of Listing of Additional Shares with the Exchange with respect to the Placement Shares.</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Financial Information</w:t>
      </w:r>
      <w:r>
        <w:rPr>
          <w:rFonts w:ascii="Times New Roman;serif" w:hAnsi="Times New Roman;serif"/>
          <w:b w:val="false"/>
          <w:color w:val="000000"/>
          <w:sz w:val="24"/>
        </w:rPr>
        <w:t xml:space="preserve">.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(if any) (as defined below) as of the dates indicated and </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the consolidated results of operations, cash flows and changes in stockholders’ equity of the Company and the Subsidiaries (if any) (as defined below) for the periods specified and have been prepared in compliance with the requirements of the Securities Act and Exchange Act and in conformity with U.S. Generally Accepted Accounting Principles (“</w:t>
      </w:r>
      <w:r>
        <w:rPr>
          <w:rFonts w:ascii="Times New Roman;serif" w:hAnsi="Times New Roman;serif"/>
          <w:b/>
          <w:color w:val="000000"/>
          <w:sz w:val="24"/>
          <w:u w:val="single"/>
        </w:rPr>
        <w:t>GAAP</w:t>
      </w:r>
      <w:r>
        <w:rPr>
          <w:color w:val="000000"/>
        </w:rPr>
        <w:t>”</w:t>
      </w:r>
      <w:r>
        <w:rPr>
          <w:rFonts w:ascii="Times New Roman;serif" w:hAnsi="Times New Roman;serif"/>
          <w:b w:val="false"/>
          <w:color w:val="000000"/>
          <w:sz w:val="24"/>
        </w:rPr>
        <w:t>) applied on a consistent basis during the periods involved, except in the case of unaudited financial statements, which are subject to normal and recurring year-end adjustments and do not contain certain footnotes as permitted by the applicable rules of the Commission. To the extent applicable, any pro forma financial statements, information or data included or incorporated by reference in the Registration Statement and the Prospectus comply in all material respects with the requirements of Regulation S-X of the Securities Act, including, without limitation, Article 8 thereof, fairly present in all material respects the information set forth therein,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and statistical data with respect to the Company and the Subsidiaries (if any) (as defined below) contained or incorporated by reference in the Registration Statement and the Prospectus are fairly presented in all material respects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therein as required. The Company and the Subsidiaries (if any) (as defined below) do not have any material liabilities or obligations, direct or contingent (including any off-balance sheet obligations), not described in the Registration Statement (excluding the exhibits thereto), and the Prospectus. All disclosures contained or incorporated by reference in the Registration Statement and the Prospectus regarding “non-GAAP financial measures” (as such term is defined by the rules and regulations of the Commission) comply in all material respects with Regulation G of the Exchange Act and Item 10 of Regulation S-K under the Securities Act, to the extent applicable. To the Company's knowledge,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Conformity with EDGAR Filing</w:t>
      </w:r>
      <w:r>
        <w:rPr>
          <w:rFonts w:ascii="Times New Roman;serif" w:hAnsi="Times New Roman;serif"/>
          <w:b w:val="false"/>
          <w:color w:val="000000"/>
          <w:sz w:val="24"/>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w:t>
        <w:noBreakHyphen/>
        <w:t>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Organization</w:t>
      </w:r>
      <w:r>
        <w:rPr>
          <w:rFonts w:ascii="Times New Roman;serif" w:hAnsi="Times New Roman;serif"/>
          <w:b w:val="false"/>
          <w:color w:val="000000"/>
          <w:sz w:val="24"/>
        </w:rPr>
        <w:t>. The Company is duly organized, validly existing as a corporation and in good standing under the laws of its jurisdiction of incorporation. The Company is duly licensed or qualified as a foreign corporation for transaction of business and in good standing under the laws of each jurisdiction in which its respective ownership or lease of property or the conduct of its respective business requires such license or qualification, and has all corporate power and authority necessary to own or hold its respective properties and to conduct its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earnings, results of operations, business, prospects, properties, assets, liabilities or stockholders’ equity of the Company and the Subsidiaries (if any) (as defined below) taken as a whole, whether or not arising from transactions in the ordinary course of business, or prevent or materially interfere with consummation of the transactions contemplated hereby (a “</w:t>
      </w:r>
      <w:r>
        <w:rPr>
          <w:rFonts w:ascii="Times New Roman;serif" w:hAnsi="Times New Roman;serif"/>
          <w:b/>
          <w:color w:val="000000"/>
          <w:sz w:val="24"/>
          <w:u w:val="single"/>
        </w:rPr>
        <w:t>Material Adverse Effect</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ind w:left="0" w:right="0" w:firstLine="144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Subsidiaries</w:t>
      </w:r>
      <w:r>
        <w:rPr>
          <w:rFonts w:ascii="Times New Roman;serif" w:hAnsi="Times New Roman;serif"/>
          <w:b w:val="false"/>
          <w:color w:val="000000"/>
          <w:sz w:val="24"/>
        </w:rPr>
        <w:t>. Each of the Company’s “subsidiaries”, if any, (for purposes of this Agreement, as defined in Rule 405 under the Securities Act) (each, a “Subsidiary” and collectively, the “Subsidiaries”) is duly organized, validly existing as a corporation and in good standing under the laws of its jurisdiction of incorporation, is duly licensed or qualified as a foreign corporation for transaction of business and in good standing under the laws of each jurisdiction in which its respective ownership or lease of property or the conduct of its respective business requires such license or qualification, and has all corporate power and authority necessary to own or hold its respective properties and to conduct its respective businesses as described in the Registration Statement and the Prospectus, except where the failure to be so qualified or in good standing or have such power or authority would not, individually or in the aggregate, have a Material Adverse Effect. Except as set forth in the Registration Statement and in the Prospectus, the Company owns, directly or indirectly, all of the equity interests of the Subsidiaries (if any) free and clear of any lien, charge, security interest, encumbrance, right of first refusal or other restriction, and all the equity interests of the Subsidiaries (if any) are validly issued and are fully paid, nonassessable and free of preemptive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similar rights. No Subsidiary (if any) is currently prohibited, directly or indirectly, from paying any dividends to the Company, from making any other distribution on such Subsidiary (if any)’s capital stock, from repaying to the Company any loans or advances to such Subsidiary (if any) from the Company or from transferring any of such Subsidiary (if any)’s property or assets to the Company or any other Subsidiary (if any) of the Company.As of the date of this Agreement, the Company does not own or control, directly or indirectly, any corporation, association or other entity, which constitutes a “significant subsidiary” within the meaning of Rule 1-02 of Regulation S-X under the Exchange Act.</w:t>
      </w:r>
    </w:p>
    <w:p>
      <w:pPr>
        <w:pStyle w:val="TextBody"/>
        <w:bidi w:val="0"/>
        <w:spacing w:lineRule="auto" w:line="268" w:before="0" w:after="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 Violation or Default</w:t>
      </w:r>
      <w:r>
        <w:rPr>
          <w:rFonts w:ascii="Times New Roman;serif" w:hAnsi="Times New Roman;serif"/>
          <w:b w:val="false"/>
          <w:color w:val="000000"/>
          <w:sz w:val="24"/>
        </w:rPr>
        <w:t>. Neither the Company, nor any of its Subsidiaries (if any) is (i) in violation of its charter or by</w:t>
        <w:noBreakHyphen/>
        <w:t>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(if any) is a party or by which the Company or any of its Subsidiaries (if any) is bound or to which any of the property or assets of the Company or any of its Subsidiaries (if any) are subject; or (iii) in violation of any law or statute or any judgment, order, rule or regulation of any Governmental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(if any) is a party is in default in any respect thereunder where such default would reasonably be expected to have a Material Adverse Effect.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No Material Adverse Change</w:t>
      </w:r>
      <w:r>
        <w:rPr>
          <w:rFonts w:ascii="Times New Roman;serif" w:hAnsi="Times New Roman;serif"/>
          <w:b w:val="false"/>
          <w:color w:val="000000"/>
          <w:sz w:val="24"/>
        </w:rPr>
        <w:t>. Subsequent to the respective dates as of which information is given in the Registration Statement, the Prospectus and the Free Writing Prospectuses, if any (including any document deemed incorporated by reference therein), there has not been (i) any Material Adverse Effect or the occurrence of any development that could reasonably be expected to result in a Material Adverse Effect, (ii) any transaction which is material to the Company and the Subsidiaries (if any) taken as a whole, (iii) any obligation or liability, direct or contingent (including any off-balance sheet obligations), incurred by the Company, which is material to the Company and the Subsidiaries (if any) taken as a whole, (iv) any material change in the capital stock or outstanding long-term indebtedness of the Company or any of its Subsidiaries (if any) or (v) any dividend or distribution of any kind declared, paid or made on the capital stock of the Company or any Subsidiary (if any), other than in each case above in the ordinary course of business or as otherwise disclosed in the Registration Statement or Prospectus (including any document deemed incorporated by reference therein).</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Capitalization</w:t>
      </w:r>
      <w:r>
        <w:rPr>
          <w:rFonts w:ascii="Times New Roman;serif" w:hAnsi="Times New Roman;serif"/>
          <w:b w:val="false"/>
          <w:color w:val="000000"/>
          <w:sz w:val="24"/>
        </w:rPr>
        <w:t xml:space="preserve">. The issued and outstanding shares of capital stock of the Company have been validly issued, are fully paid and nonassessable and have been issued in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compliance with all federal, state and local securities laws and are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Company has an authorized, issued and outstanding capitalization as set forth in the Registration Statement and the Prospectus as of the dates referred to therein (other than the grant of additional options under the Company’s existing stock option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Authorization; Enforceability</w:t>
      </w:r>
      <w:r>
        <w:rPr>
          <w:rFonts w:ascii="Times New Roman;serif" w:hAnsi="Times New Roman;serif"/>
          <w:b w:val="false"/>
          <w:color w:val="000000"/>
          <w:sz w:val="24"/>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(i) enforceability may be limited by bankruptcy, insolvency, reorganization, moratorium, fraudulent conveyance or similar laws affecting creditors’ rights generally and by general equitable principles and (ii) the indemnification and contribution obligations and provisions of this Agreement may be limited by federal or state securities laws or public policy considerations in respect thereof.</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Authorization of Placement Shares</w:t>
      </w:r>
      <w:r>
        <w:rPr>
          <w:rFonts w:ascii="Times New Roman;serif" w:hAnsi="Times New Roman;serif"/>
          <w:b w:val="false"/>
          <w:color w:val="000000"/>
          <w:sz w:val="24"/>
        </w:rPr>
        <w:t>. The Placement Shares, when issued and delivered pursuant to the terms approved by the Company Authorization Body,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to the description thereof set forth in or incorporated into the Prospectus.</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No Consents Required</w:t>
      </w:r>
      <w:r>
        <w:rPr>
          <w:rFonts w:ascii="Times New Roman;serif" w:hAnsi="Times New Roman;serif"/>
          <w:b w:val="false"/>
          <w:color w:val="000000"/>
          <w:sz w:val="24"/>
        </w:rPr>
        <w:t>. No consent, approval, license, permit, authorization, order, registration or qualification of or with any Governmental Authority is required for the execution, delivery and performance by the Company of this Agreement, the issuance and sale by the Company of the Placement Shares, except for such consents, approvals, licenses, permits, authorizations, orders and registrations or qualifications as have already been obtained or as may be required under applicable state securities laws or by the by</w:t>
        <w:noBreakHyphen/>
        <w:t>laws and rules of the Financial Industry Regulatory Authority (“</w:t>
      </w:r>
      <w:r>
        <w:rPr>
          <w:rFonts w:ascii="Times New Roman;serif" w:hAnsi="Times New Roman;serif"/>
          <w:b/>
          <w:color w:val="000000"/>
          <w:sz w:val="24"/>
          <w:u w:val="single"/>
        </w:rPr>
        <w:t>FINRA</w:t>
      </w:r>
      <w:r>
        <w:rPr>
          <w:color w:val="000000"/>
        </w:rPr>
        <w:t>”</w:t>
      </w:r>
      <w:r>
        <w:rPr>
          <w:rFonts w:ascii="Times New Roman;serif" w:hAnsi="Times New Roman;serif"/>
          <w:b w:val="false"/>
          <w:color w:val="000000"/>
          <w:sz w:val="24"/>
        </w:rPr>
        <w:t>) or the Exchange in connection with the sale of the Placement Shares by the Agent.</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No Preferential Rights</w:t>
      </w:r>
      <w:r>
        <w:rPr>
          <w:rFonts w:ascii="Times New Roman;serif" w:hAnsi="Times New Roman;serif"/>
          <w:b w:val="false"/>
          <w:color w:val="000000"/>
          <w:sz w:val="24"/>
        </w:rPr>
        <w:t>. Except as set forth in the Registration Statement and the Prospectus, (i) no person, as such term is defined in Rule 1</w:t>
        <w:noBreakHyphen/>
        <w:t>02 of Regulation S</w:t>
        <w:noBreakHyphen/>
        <w:t>X promulgated under the Securities Act (each, a “</w:t>
      </w:r>
      <w:r>
        <w:rPr>
          <w:rFonts w:ascii="Times New Roman;serif" w:hAnsi="Times New Roman;serif"/>
          <w:b/>
          <w:color w:val="000000"/>
          <w:sz w:val="24"/>
          <w:u w:val="single"/>
        </w:rPr>
        <w:t>Person</w:t>
      </w:r>
      <w:r>
        <w:rPr>
          <w:color w:val="000000"/>
        </w:rPr>
        <w:t>”</w:t>
      </w:r>
      <w:r>
        <w:rPr>
          <w:rFonts w:ascii="Times New Roman;serif" w:hAnsi="Times New Roman;serif"/>
          <w:b w:val="false"/>
          <w:color w:val="000000"/>
          <w:sz w:val="24"/>
        </w:rPr>
        <w:t xml:space="preserve">), has the right, 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t>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with the offer and sale of the Placement Shares hereunder,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pStyle w:val="TextBody"/>
        <w:bidi w:val="0"/>
        <w:spacing w:before="0" w:after="0"/>
        <w:ind w:left="0" w:right="0" w:firstLine="720"/>
        <w:jc w:val="both"/>
        <w:rPr/>
      </w:pPr>
      <w:r>
        <w:rPr/>
      </w:r>
    </w:p>
    <w:p>
      <w:pPr>
        <w:pStyle w:val="TextBody"/>
        <w:bidi w:val="0"/>
        <w:spacing w:lineRule="auto" w:line="268" w:before="0" w:after="0"/>
        <w:ind w:left="0" w:right="0" w:firstLine="153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Independent Public Accounting Firm</w:t>
      </w:r>
      <w:r>
        <w:rPr>
          <w:rFonts w:ascii="Times New Roman;serif" w:hAnsi="Times New Roman;serif"/>
          <w:b w:val="false"/>
          <w:color w:val="000000"/>
          <w:sz w:val="24"/>
        </w:rPr>
        <w:t>. Baker Tilly US, LLP (the “</w:t>
      </w:r>
      <w:r>
        <w:rPr>
          <w:rFonts w:ascii="Times New Roman;serif" w:hAnsi="Times New Roman;serif"/>
          <w:b/>
          <w:color w:val="000000"/>
          <w:sz w:val="24"/>
          <w:u w:val="single"/>
        </w:rPr>
        <w:t>Accountant</w:t>
      </w:r>
      <w:r>
        <w:rPr>
          <w:color w:val="000000"/>
        </w:rPr>
        <w:t>”</w:t>
      </w:r>
      <w:r>
        <w:rPr>
          <w:rFonts w:ascii="Times New Roman;serif" w:hAnsi="Times New Roman;serif"/>
          <w:b w:val="false"/>
          <w:color w:val="000000"/>
          <w:sz w:val="24"/>
        </w:rPr>
        <w:t>), whose report on the consolidated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registered public accounting firm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serif" w:hAnsi="Times New Roman;serif"/>
          <w:b/>
          <w:color w:val="000000"/>
          <w:sz w:val="24"/>
          <w:u w:val="single"/>
        </w:rPr>
        <w:t>Sarbanes-Oxley Act</w:t>
      </w:r>
      <w:r>
        <w:rPr>
          <w:color w:val="000000"/>
        </w:rPr>
        <w:t>”</w:t>
      </w:r>
      <w:r>
        <w:rPr>
          <w:rFonts w:ascii="Times New Roman;serif" w:hAnsi="Times New Roman;serif"/>
          <w:b w:val="false"/>
          <w:color w:val="000000"/>
          <w:sz w:val="24"/>
        </w:rPr>
        <w:t>) with respect to the Company. The Accountant has not been engaged by the Company to perform any “prohibited activities” or provided to the Company any “non-audit services” (as defined in Section 10A of the Exchange Act).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Enforceability of Agreements</w:t>
      </w:r>
      <w:r>
        <w:rPr>
          <w:rFonts w:ascii="Times New Roman;serif" w:hAnsi="Times New Roman;serif"/>
          <w:b w:val="false"/>
          <w:color w:val="000000"/>
          <w:sz w:val="24"/>
        </w:rPr>
        <w:t>. All agreements between the Company and third parties expressly referenced in the Registration Statement and Prospectus are legal, valid and binding obligations of the Company enforceable in accordance with their respective terms, except to the extent that (i) enforceability may be limited by bankruptcy, insolvency, reorganization, moratorium, fraudulent conveyance or similar laws affecting creditors’ rights generally and by general equitable principles and (ii) the indemnification and contribution provisions of certain agreements may be limited by federal or state securities laws or public policy considerations in respect thereof.</w:t>
      </w:r>
    </w:p>
    <w:p>
      <w:pPr>
        <w:pStyle w:val="TextBody"/>
        <w:bidi w:val="0"/>
        <w:spacing w:before="0" w:after="0"/>
        <w:ind w:left="0" w:right="0" w:firstLine="720"/>
        <w:jc w:val="both"/>
        <w:rPr/>
      </w:pPr>
      <w:r>
        <w:rPr/>
      </w:r>
    </w:p>
    <w:p>
      <w:pPr>
        <w:pStyle w:val="TextBody"/>
        <w:bidi w:val="0"/>
        <w:spacing w:lineRule="auto" w:line="268" w:before="0" w:after="0"/>
        <w:ind w:left="0" w:right="0" w:firstLine="153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No Litigation</w:t>
      </w:r>
      <w:r>
        <w:rPr>
          <w:rFonts w:ascii="Times New Roman;serif" w:hAnsi="Times New Roman;serif"/>
          <w:b w:val="false"/>
          <w:color w:val="000000"/>
          <w:sz w:val="24"/>
        </w:rPr>
        <w:t>. Except as set forth in the Registration Statement or the Prospectus, there are no actions, suits or proceedings by or before any Governmental Authority pending, nor, to the Company’s knowledge, any audits or investigations by or before any Governmental Authority to which the Company or a Subsidiary (if any) is a party or to which any property of the Company or any of its Subsidiaries (if any) is the subject that, individually or in the aggregate, would be reasonably expected to have a Material Adverse Effect and, to the Company’s knowledge, no such actions, suits, proceedings, audits or investigations are threatened or contemplated by any Governmental Authority or threatened by others; and (i) there are no current or pending audits or investigations, actions, suits or proceedings by or before any Governmental Authority that are required under the Securities Act to be described in the Registration Statement and Prospectus that are not so described; and (ii) there are no contracts or other documents that are required under the Securities Act to be filed as exhibits to the Registration Statement that are not described in all material respects or filed as required.</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Consents and Permits</w:t>
      </w:r>
      <w:r>
        <w:rPr>
          <w:rFonts w:ascii="Times New Roman;serif" w:hAnsi="Times New Roman;serif"/>
          <w:b w:val="false"/>
          <w:color w:val="000000"/>
          <w:sz w:val="24"/>
        </w:rPr>
        <w:t>. Except as disclosed in the Registration Statement and the Prospectus, the Company has and its Subsidiaries (if any) have made all filings, declarations, listings, registrations, reports, applications and submissions required by, possesses and is operating in material compliance with, all approvals, licenses, certificates, certifications, clearances, consents, grants, exemptions, marks, notifications, orders, permits and other authorizations issued by, the appropriate federal, state or foreign Governmental Authority (including, without limitation, the United States Food and Drug Administration (the “</w:t>
      </w:r>
      <w:r>
        <w:rPr>
          <w:rFonts w:ascii="Times New Roman;serif" w:hAnsi="Times New Roman;serif"/>
          <w:b/>
          <w:color w:val="000000"/>
          <w:sz w:val="24"/>
          <w:u w:val="single"/>
        </w:rPr>
        <w:t>FDA</w:t>
      </w:r>
      <w:r>
        <w:rPr>
          <w:color w:val="000000"/>
        </w:rPr>
        <w:t>”</w:t>
      </w:r>
      <w:r>
        <w:rPr>
          <w:rFonts w:ascii="Times New Roman;serif" w:hAnsi="Times New Roman;serif"/>
          <w:b w:val="false"/>
          <w:color w:val="000000"/>
          <w:sz w:val="24"/>
        </w:rPr>
        <w:t>), the European Medicines Agency (“</w:t>
      </w:r>
      <w:r>
        <w:rPr>
          <w:rFonts w:ascii="Times New Roman;serif" w:hAnsi="Times New Roman;serif"/>
          <w:b/>
          <w:color w:val="000000"/>
          <w:sz w:val="24"/>
          <w:u w:val="single"/>
        </w:rPr>
        <w:t>EMA</w:t>
      </w:r>
      <w:r>
        <w:rPr>
          <w:color w:val="000000"/>
        </w:rPr>
        <w:t>”</w:t>
      </w:r>
      <w:r>
        <w:rPr>
          <w:rFonts w:ascii="Times New Roman;serif" w:hAnsi="Times New Roman;serif"/>
          <w:b w:val="false"/>
          <w:color w:val="000000"/>
          <w:sz w:val="24"/>
        </w:rPr>
        <w:t xml:space="preserve">), the United States Drug Enforcement Administration or any other foreign, federal, state, provincial,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described in the Registration Statement and the Prospectus (collectively, “</w:t>
      </w:r>
      <w:r>
        <w:rPr>
          <w:rFonts w:ascii="Times New Roman;serif" w:hAnsi="Times New Roman;serif"/>
          <w:b/>
          <w:color w:val="000000"/>
          <w:sz w:val="24"/>
          <w:u w:val="single"/>
        </w:rPr>
        <w:t>Permits</w:t>
      </w:r>
      <w:r>
        <w:rPr>
          <w:color w:val="000000"/>
        </w:rPr>
        <w:t>”</w:t>
      </w:r>
      <w:r>
        <w:rPr>
          <w:rFonts w:ascii="Times New Roman;serif" w:hAnsi="Times New Roman;serif"/>
          <w:b w:val="false"/>
          <w:color w:val="000000"/>
          <w:sz w:val="24"/>
        </w:rPr>
        <w:t>), except for such Permits the failure of which to possess, obtain or make the same would not have a Material Adverse Effect; the Company is and its Subsidiaries (if any)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(if any) has received any written notice relating to the limitation, revocation, cancellation, suspension, modification or non-renewal of any such Permit which, singly or in the aggregate, if the subject of an unfavorable decision, ruling or finding, would have a Material Adverse Effect, and has no reason to believe that any such license, certificate, permit or authorization will not be renewed in the ordinary course. To the extent required by applicable laws and regulations of the FDA, the Company or the applicable Subsidiary (if any) has submitted to the FDA an Investigational New Drug Application or amendment or supplement thereto for each clinical trial it has conducted or sponsored or is conducting or sponsoring; all such submissions were in material compliance with applicable laws and rules and regulations when submitted and no material deficiencies have been asserted by the FDA with respect to any such submissions. The Company has operated and currently is, in all material respects, in compliance with the United States Federal Food, Drug,and Cosmetic Act, all applicable rules and regulations of the FDA, EMA and other federal, state,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local and foreign Governmental Authority exercising comparable authority. Neither the Company, any of its Subsidiaries (if any) nor, to the Company’s knowledge, any of their respective directors, officers, employees or agents has been the subject of an FDA debarment proceeding. Neither the Company nor any of its Subsidiaries (if any) has been, nor is now subject to the FDA’s Application Integrity Policy. To the Company’s knowledge, neither the Company, any of its Subsidiaries (if any) nor any of their respective directors, officers, employees or agents has made, or caused the making of, any false statements on, or material omissions from, any other records or documentation prepared or maintained to comply with the requirements of the FDA, EMA or any other Governmental Authority.</w: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    [Reserved].</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 Except as disclosed in the Registration Statement and the Prospectus, the Company and its Subsidiaries (if any) own, possess, license or have other rights to use all foreign and domestic patents, patent applications, trade and service marks, trade and service mark registrations, trade names, copyrights, licenses, inventions, trade secrets, technology, Internet domain names, know-how (including unpatented and/or unpatentable proprietary or confidential information, systems or procedures) and other intellectual property (collectively, the “</w:t>
      </w:r>
      <w:r>
        <w:rPr>
          <w:rFonts w:ascii="Times New Roman;serif" w:hAnsi="Times New Roman;serif"/>
          <w:b/>
          <w:color w:val="000000"/>
          <w:sz w:val="24"/>
          <w:u w:val="single"/>
        </w:rPr>
        <w:t>Intellectual Property</w:t>
      </w:r>
      <w:r>
        <w:rPr>
          <w:color w:val="000000"/>
        </w:rPr>
        <w:t>”</w:t>
      </w:r>
      <w:r>
        <w:rPr>
          <w:rFonts w:ascii="Times New Roman;serif" w:hAnsi="Times New Roman;serif"/>
          <w:b w:val="false"/>
          <w:color w:val="000000"/>
          <w:sz w:val="24"/>
        </w:rPr>
        <w:t xml:space="preserve">), necessary for the conduct of their respective businesses as now conducted except to the extent that the failure to own, possess, license or otherwise hold adequate rights to use such Intellectual Property would not, individually or in the aggregate, reasonably be expected to have a Material Adverse Effect. Except as disclosed in the Registration Statement and the Prospectus (i) there are no rights of third parties to any such Intellectual Property owned by the Company and its Subsidiaries (if any); (ii) to the Company’s knowledge, there is no infringement by third parties of any such Intellectual Property; (iii) there is no pending or, to the Company’s knowledge, threatened action, suit, proceeding or claim by others challenging the rights of the Company and its Subsidiaries (if any)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(if any)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has been commenced </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against any patent or patent application described in the Prospectus as being owned by or licensed to the Company; (vii) all employees or contractors engaged in the development of Intellectual Property on behalf of the Company and its Subsidiaries (if any) have executed or have an obligation to execute an invention assignment agreement whereby such employees or contractors presently assign all of their right, title and interest in and to such Intellectual Property to the Company or the applicable Subsidiary (if any), and to the Company’s knowledge no such agreement has been breached or violated; (viii) the Company and its Subsidiaries (if any) use, and have used, commercially reasonable efforts to appropriately maintain all information intended to be maintained as a trade secret; and (ix) the Company and its Subsidiaries (if any) have complied with the terms of each agreement pursuant to which Intellectual Property has been licensed to the Company or such Subsidiary (if any), and all such agreements are in full force and effect, except, in the case of any of clauses (i)-(ix) above, for any such infringement by third parties or any such pending or threatened suit, action, proceeding or claim as would not, individually or in the aggregate, reasonably be expected to result in a Material Adverse Effect.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Clinical Studies</w:t>
      </w:r>
      <w:r>
        <w:rPr>
          <w:rFonts w:ascii="Times New Roman;serif" w:hAnsi="Times New Roman;serif"/>
          <w:b w:val="false"/>
          <w:color w:val="000000"/>
          <w:sz w:val="24"/>
        </w:rPr>
        <w:t>. The preclinical studies and tests and clinical trials conducted by or on behalf of the Company that are described in the Registration Statement and Prospectus were, and, if still pending, are being conducted in all material respects in accordance with applicable rules and regulations to which such studies and trials are subject; the descriptions of such studies, tests and trials, and the results thereof, contained in the Registration Statement and the Prospectus are accurate and complete in all material respects; the Company is not aware of any tests, studies or trials not described in the Registration Statement and the Prospectus, the results of which reasonably call into question the results of the tests, studies and trials described in the Registration Statement and the Prospectus; and the Company has not received any written notice or correspondence from the FDA or any foreign, state or local Governmental Authority exercising comparable authority or any institutional review board or comparable authority requiring the termination, suspension, clinical hold or material modification of any tests, studies or trials. To the Company’s knowledge, the manufacturing facilities and operations of its suppliers are operated in compliance in all material respects with all applicable statutes, rules, regulations and policies of the FDA or any foreign, state or local Governmental Authority exercising comparable authority outside of the United States to which the Company is subject.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Market Capitalization</w:t>
      </w:r>
      <w:r>
        <w:rPr>
          <w:rFonts w:ascii="Times New Roman;serif" w:hAnsi="Times New Roman;serif"/>
          <w:b w:val="false"/>
          <w:color w:val="000000"/>
          <w:sz w:val="24"/>
        </w:rPr>
        <w:t xml:space="preserve">. At the time the Registration Statement was or will be originally declared effective, and at the time the Company’s most recent Annual Report on Form 10-K was filed with the Commission, the Company met or will meet the then applicable requirements for the use of Form S-3 under the Securities Act, including, but not limited to, General Instruction I.B. of Form S-3. </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FINRA Matters</w:t>
      </w:r>
      <w:r>
        <w:rPr>
          <w:rFonts w:ascii="Times New Roman;serif" w:hAnsi="Times New Roman;serif"/>
          <w:b w:val="false"/>
          <w:color w:val="000000"/>
          <w:sz w:val="24"/>
        </w:rPr>
        <w:t>. Neither the Company nor any of its Subsidiaries (if any) is required to register as a “broker” or “dealer” in accordance with the provisions of the Exchange Act and do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The information provided to the Agent by the Company, its counsel, and its officers and directors for purposes of the Agent’s compliance with applicable FINRA rules in connection with the offering of the Placement Shares is true, complete, and correct in all material respects and compliant with FINRA’s rules.</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(y)    </w:t>
      </w:r>
      <w:r>
        <w:rPr>
          <w:rFonts w:ascii="Times New Roman;serif" w:hAnsi="Times New Roman;serif"/>
          <w:b w:val="false"/>
          <w:color w:val="000000"/>
          <w:sz w:val="24"/>
          <w:u w:val="single"/>
        </w:rPr>
        <w:t>No Material Defaults</w:t>
      </w:r>
      <w:r>
        <w:rPr>
          <w:rFonts w:ascii="Times New Roman;serif" w:hAnsi="Times New Roman;serif"/>
          <w:b w:val="false"/>
          <w:color w:val="000000"/>
          <w:sz w:val="24"/>
        </w:rPr>
        <w:t xml:space="preserve">. Neither the Company nor any of its Subsidiaries (if any) has defaulted on any installment on indebtedness for borrowed money or on any rental on one or more </w:t>
      </w: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long-term leases, which defaults, individually or in the aggregate, would be reasonably expected to have a Material Adverse Effect. The Company has not filed a report pursuant to Section 13(a) or 15(d) of the Exchange Act since the filing of its last Annual Report on Form 10</w:t>
        <w:noBreakHyphen/>
        <w:t>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(z)    </w:t>
      </w:r>
      <w:r>
        <w:rPr>
          <w:rFonts w:ascii="Times New Roman;serif" w:hAnsi="Times New Roman;serif"/>
          <w:b w:val="false"/>
          <w:color w:val="000000"/>
          <w:sz w:val="24"/>
          <w:u w:val="single"/>
        </w:rPr>
        <w:t>Certain Market Activities</w:t>
      </w:r>
      <w:r>
        <w:rPr>
          <w:rFonts w:ascii="Times New Roman;serif" w:hAnsi="Times New Roman;serif"/>
          <w:b w:val="false"/>
          <w:color w:val="000000"/>
          <w:sz w:val="24"/>
        </w:rPr>
        <w:t>. Neither the Company, nor any of its Subsidiaries (if any), nor any of their respective directors, officers or controlling persons has taken, directly or indirectly, (i) any action designed, or that has constituted or would reasonably be expected to cause or result in, under the Exchange Act or otherwise, the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(aa)    </w:t>
      </w:r>
      <w:r>
        <w:rPr>
          <w:rFonts w:ascii="Times New Roman;serif" w:hAnsi="Times New Roman;serif"/>
          <w:b w:val="false"/>
          <w:color w:val="000000"/>
          <w:sz w:val="24"/>
          <w:u w:val="single"/>
        </w:rPr>
        <w:t>No Reliance</w:t>
      </w:r>
      <w:r>
        <w:rPr>
          <w:rFonts w:ascii="Times New Roman;serif" w:hAnsi="Times New Roman;serif"/>
          <w:b w:val="false"/>
          <w:color w:val="000000"/>
          <w:sz w:val="24"/>
        </w:rPr>
        <w:t>. The Company has not relied upon the Agent or legal counsel for the Agent for any legal, tax or accounting advice in connection with the offering and sale of Placement Shares.</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(bb)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The Company and each of its Subsidiaries (if any)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the Prospectus, no tax deficiency has been determined adversely to the Company or any of its Subsidiaries (if any)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 </w:t>
      </w:r>
    </w:p>
    <w:p>
      <w:pPr>
        <w:pStyle w:val="TextBody"/>
        <w:bidi w:val="0"/>
        <w:spacing w:before="0" w:after="0"/>
        <w:ind w:left="0" w:right="0" w:firstLine="720"/>
        <w:jc w:val="both"/>
        <w:rPr/>
      </w:pPr>
      <w:r>
        <w:rPr/>
      </w:r>
    </w:p>
    <w:p>
      <w:pPr>
        <w:pStyle w:val="TextBody"/>
        <w:bidi w:val="0"/>
        <w:spacing w:lineRule="auto" w:line="268" w:before="0" w:after="0"/>
        <w:ind w:left="0" w:right="0" w:firstLine="1530"/>
        <w:jc w:val="both"/>
        <w:rPr/>
      </w:pPr>
      <w:r>
        <w:rPr>
          <w:rFonts w:ascii="Times New Roman;serif" w:hAnsi="Times New Roman;serif"/>
          <w:b w:val="false"/>
          <w:color w:val="000000"/>
          <w:sz w:val="24"/>
        </w:rPr>
        <w:t>(cc)    </w:t>
      </w:r>
      <w:r>
        <w:rPr>
          <w:rFonts w:ascii="Times New Roman;serif" w:hAnsi="Times New Roman;serif"/>
          <w:b w:val="false"/>
          <w:color w:val="000000"/>
          <w:sz w:val="24"/>
          <w:u w:val="single"/>
        </w:rPr>
        <w:t>Title to Real and Personal Property</w:t>
      </w:r>
      <w:r>
        <w:rPr>
          <w:rFonts w:ascii="Times New Roman;serif" w:hAnsi="Times New Roman;serif"/>
          <w:b w:val="false"/>
          <w:color w:val="000000"/>
          <w:sz w:val="24"/>
        </w:rPr>
        <w:t xml:space="preserve">. Except as set forth in the Registration Statement or the Prospectus, the Company and each of its Subsidiaries (if any) have good and marketable title in fee simple to all items of real property owned by them, good and valid title to all personal property described in the Registration Statement or Prospectus as being owned by them, in each case free and clear of all liens, encumbrances and claims, except those matters that (i) do not materially interfere with the use made and proposed to be made of such property by the Company and any of its Subsidiaries (if any) or (ii) would not, individually or in the aggregate, have a Material Adverse Effect. Any real or personal property described in the Registration Statement or Prospectus as being leased by the Company and any of its Subsidiaries (if any) is held by them under valid, existing and enforceable leases, except those that (A) do not materially interfere with the use made or proposed to be made of such property by the Company or any of its Subsidiaries (if any) or (B) would not be reasonably expected, individually or in the aggregate, to have a Material Adverse Effect. </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(dd)    </w:t>
      </w:r>
      <w:r>
        <w:rPr>
          <w:rFonts w:ascii="Times New Roman;serif" w:hAnsi="Times New Roman;serif"/>
          <w:b w:val="false"/>
          <w:color w:val="000000"/>
          <w:sz w:val="24"/>
          <w:u w:val="single"/>
        </w:rPr>
        <w:t>Environmental Laws</w:t>
      </w:r>
      <w:r>
        <w:rPr>
          <w:rFonts w:ascii="Times New Roman;serif" w:hAnsi="Times New Roman;serif"/>
          <w:b w:val="false"/>
          <w:color w:val="000000"/>
          <w:sz w:val="24"/>
        </w:rPr>
        <w:t>. Except as set forth in the Registration Statement or the Prospectus, the Company and its Subsidiaries (if any)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serif" w:hAnsi="Times New Roman;serif"/>
          <w:b/>
          <w:color w:val="000000"/>
          <w:sz w:val="24"/>
          <w:u w:val="single"/>
        </w:rPr>
        <w:t>Environmental Laws</w:t>
      </w:r>
      <w:r>
        <w:rPr>
          <w:color w:val="000000"/>
        </w:rPr>
        <w:t>”</w:t>
      </w:r>
      <w:r>
        <w:rPr>
          <w:rFonts w:ascii="Times New Roman;serif" w:hAnsi="Times New Roman;serif"/>
          <w:b w:val="false"/>
          <w:color w:val="000000"/>
          <w:sz w:val="24"/>
        </w:rPr>
        <w:t xml:space="preserve">);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w:t>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case of any of clauses (i), (ii) or (iii) above, for any such failure to comply or failure to receive required permits, licenses, other approvals or liability as would not, individually or in the aggregate, have a Material Adverse Effect.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(ee)    </w:t>
      </w:r>
      <w:r>
        <w:rPr>
          <w:rFonts w:ascii="Times New Roman;serif" w:hAnsi="Times New Roman;serif"/>
          <w:b w:val="false"/>
          <w:color w:val="000000"/>
          <w:sz w:val="24"/>
          <w:u w:val="single"/>
        </w:rPr>
        <w:t>Disclosure Controls</w:t>
      </w:r>
      <w:r>
        <w:rPr>
          <w:rFonts w:ascii="Times New Roman;serif" w:hAnsi="Times New Roman;serif"/>
          <w:b w:val="false"/>
          <w:color w:val="000000"/>
          <w:sz w:val="24"/>
        </w:rPr>
        <w:t>. The Company and each of its Subsidiaries (if any) maintain disclosure controls and procedures (as such is defined in Rule 13a-15(e) of the Exchange Act Rules) that comply with the requirements of the Exchange Act; such disclosure controls and procedures have been designed to ensure that information required to be disclosed by the Company and its Subsidiaries (if any) in reports that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(ff)    </w:t>
      </w:r>
      <w:r>
        <w:rPr>
          <w:rFonts w:ascii="Times New Roman;serif" w:hAnsi="Times New Roman;serif"/>
          <w:b w:val="false"/>
          <w:color w:val="000000"/>
          <w:sz w:val="24"/>
          <w:u w:val="single"/>
        </w:rPr>
        <w:t>Sarbanes-Oxley</w:t>
      </w:r>
      <w:r>
        <w:rPr>
          <w:rFonts w:ascii="Times New Roman;serif" w:hAnsi="Times New Roman;serif"/>
          <w:b w:val="false"/>
          <w:color w:val="000000"/>
          <w:sz w:val="24"/>
        </w:rPr>
        <w:t>.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(gg)    </w:t>
      </w:r>
      <w:r>
        <w:rPr>
          <w:rFonts w:ascii="Times New Roman;serif" w:hAnsi="Times New Roman;serif"/>
          <w:b w:val="false"/>
          <w:color w:val="000000"/>
          <w:sz w:val="24"/>
          <w:u w:val="single"/>
        </w:rPr>
        <w:t>Finder’s Fees</w:t>
      </w:r>
      <w:r>
        <w:rPr>
          <w:rFonts w:ascii="Times New Roman;serif" w:hAnsi="Times New Roman;serif"/>
          <w:b w:val="false"/>
          <w:color w:val="000000"/>
          <w:sz w:val="24"/>
        </w:rPr>
        <w:t>. Neither the Company nor any of its Subsidiaries (if any) has incurred any liability for any finder’s fees, brokerage commissions or similar payments in connection with the transactions herein contemplated, except as may otherwise exist with respect to the Agent pursuant to this Agreement.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(hh)    </w:t>
      </w:r>
      <w:r>
        <w:rPr>
          <w:rFonts w:ascii="Times New Roman;serif" w:hAnsi="Times New Roman;serif"/>
          <w:b w:val="false"/>
          <w:color w:val="000000"/>
          <w:sz w:val="24"/>
          <w:u w:val="single"/>
        </w:rPr>
        <w:t>Labor Disputes</w:t>
      </w:r>
      <w:r>
        <w:rPr>
          <w:rFonts w:ascii="Times New Roman;serif" w:hAnsi="Times New Roman;serif"/>
          <w:b w:val="false"/>
          <w:color w:val="000000"/>
          <w:sz w:val="24"/>
        </w:rPr>
        <w:t>. No labor disturbance by or dispute with employees of the Company or any of its Subsidiaries (if any) exists or, to the knowledge of the Company, is threatened or imminent, which would, singly or in the aggregate, reasonably be expected to result in a Material Adverse Effect on the Company and its Subsidiaries (if any), taken as a whole.</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Neither the Company nor any of its Subsidiaries (if any) is or, after giving effect to the offering and sale of the Placement Shares, will be an “investment company” or an entity “controlled” by an “investment company,” as such terms are defined in the Investment Company Act of 1940, as amended (the “</w:t>
      </w:r>
      <w:r>
        <w:rPr>
          <w:rFonts w:ascii="Times New Roman;serif" w:hAnsi="Times New Roman;serif"/>
          <w:b/>
          <w:color w:val="000000"/>
          <w:sz w:val="24"/>
          <w:u w:val="single"/>
        </w:rPr>
        <w:t>Investment Company Act</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(jj)    </w:t>
      </w:r>
      <w:r>
        <w:rPr>
          <w:rFonts w:ascii="Times New Roman;serif" w:hAnsi="Times New Roman;serif"/>
          <w:b w:val="false"/>
          <w:color w:val="000000"/>
          <w:sz w:val="24"/>
          <w:u w:val="single"/>
        </w:rPr>
        <w:t>Operations</w:t>
      </w:r>
      <w:r>
        <w:rPr>
          <w:rFonts w:ascii="Times New Roman;serif" w:hAnsi="Times New Roman;serif"/>
          <w:b w:val="false"/>
          <w:color w:val="000000"/>
          <w:sz w:val="24"/>
        </w:rPr>
        <w:t>. The operations of the Company and its Subsidiaries (if any) are and have been conducted at all times in material compliance with applicable financial record keeping and reporting requirements of the Currency and Foreign Transactions Reporting Act of 1970, as amended, the money laundering statutes of all jurisdictions to which the Company or its Subsidiaries (if any) are subject, the rules and regulations thereunder and any related or similar rules, regulations or guidelines, issued, administered or enforced by any Governmental Authority (collectively, the “</w:t>
      </w:r>
      <w:r>
        <w:rPr>
          <w:rFonts w:ascii="Times New Roman;serif" w:hAnsi="Times New Roman;serif"/>
          <w:b/>
          <w:color w:val="000000"/>
          <w:sz w:val="24"/>
          <w:u w:val="single"/>
        </w:rPr>
        <w:t>Money Laundering Laws</w:t>
      </w:r>
      <w:r>
        <w:rPr>
          <w:color w:val="000000"/>
        </w:rPr>
        <w:t>”</w:t>
      </w:r>
      <w:r>
        <w:rPr>
          <w:rFonts w:ascii="Times New Roman;serif" w:hAnsi="Times New Roman;serif"/>
          <w:b w:val="false"/>
          <w:color w:val="000000"/>
          <w:sz w:val="24"/>
        </w:rPr>
        <w:t>); and no action, suit or proceeding by or before any Governmental Authority involving the Company or any of its Subsidiaries (if any) with respect to the Money Laundering Laws is pending or, to the knowledge of the Company, threatened.</w:t>
      </w:r>
    </w:p>
    <w:p>
      <w:pPr>
        <w:pStyle w:val="TextBody"/>
        <w:bidi w:val="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erif" w:hAnsi="Times New Roman;serif"/>
          <w:b w:val="false"/>
          <w:color w:val="000000"/>
          <w:sz w:val="24"/>
        </w:rPr>
        <w:t>(kk)    </w:t>
      </w:r>
      <w:r>
        <w:rPr>
          <w:rFonts w:ascii="Times New Roman;serif" w:hAnsi="Times New Roman;serif"/>
          <w:b w:val="false"/>
          <w:color w:val="000000"/>
          <w:sz w:val="24"/>
          <w:u w:val="single"/>
        </w:rPr>
        <w:t>Off-Balance Sheet Arrangements</w:t>
      </w:r>
      <w:r>
        <w:rPr>
          <w:rFonts w:ascii="Times New Roman;serif" w:hAnsi="Times New Roman;serif"/>
          <w:b w:val="false"/>
          <w:color w:val="000000"/>
          <w:sz w:val="24"/>
        </w:rPr>
        <w:t>. There are no transactions, arrangements and other relationships between and/or among the Company, and/or any of its affiliates and any unconsolidated entity, including, but not limited to, any structured finance, special purpose or limited purpose entity (each, an “</w:t>
      </w:r>
      <w:r>
        <w:rPr>
          <w:rFonts w:ascii="Times New Roman;serif" w:hAnsi="Times New Roman;serif"/>
          <w:b/>
          <w:color w:val="000000"/>
          <w:sz w:val="24"/>
          <w:u w:val="single"/>
        </w:rPr>
        <w:t>Off-Balance Sheet Transaction</w:t>
      </w:r>
      <w:r>
        <w:rPr>
          <w:color w:val="000000"/>
        </w:rPr>
        <w:t>”</w:t>
      </w:r>
      <w:r>
        <w:rPr>
          <w:rFonts w:ascii="Times New Roman;serif" w:hAnsi="Times New Roman;serif"/>
          <w:b w:val="false"/>
          <w:color w:val="000000"/>
          <w:sz w:val="24"/>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w:t>
        <w:noBreakHyphen/>
        <w:t>8056; 34</w:t>
        <w:noBreakHyphen/>
        <w:t>45321; FR</w:t>
        <w:noBreakHyphen/>
        <w:t>61), required to be described in the Registration Statement and the Prospectus which have not been described as required.</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(ll)    </w:t>
      </w:r>
      <w:r>
        <w:rPr>
          <w:rFonts w:ascii="Times New Roman;serif" w:hAnsi="Times New Roman;serif"/>
          <w:b w:val="false"/>
          <w:color w:val="000000"/>
          <w:sz w:val="24"/>
          <w:u w:val="single"/>
        </w:rPr>
        <w:t>Other Underwriter Agreements</w:t>
      </w:r>
      <w:r>
        <w:rPr>
          <w:rFonts w:ascii="Times New Roman;serif" w:hAnsi="Times New Roman;serif"/>
          <w:b w:val="false"/>
          <w:color w:val="000000"/>
          <w:sz w:val="24"/>
        </w:rPr>
        <w:t>. The Company is not a party to any agreement with an agent or underwriter for any other “at the market”, equity line of credit or other continuous equity transaction.</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u w:val="single"/>
        </w:rPr>
        <w:t>(mm)    ERISA</w:t>
      </w:r>
      <w:r>
        <w:rPr>
          <w:rFonts w:ascii="Times New Roman;serif" w:hAnsi="Times New Roman;serif"/>
          <w:b w:val="false"/>
          <w:color w:val="000000"/>
          <w:sz w:val="24"/>
        </w:rPr>
        <w:t>. To the knowledge of the Company, each material employee benefit plan, within the meaning of Section 3(3) of the Employee Retirement Income Security Act of 1974, as amended (“</w:t>
      </w:r>
      <w:r>
        <w:rPr>
          <w:rFonts w:ascii="Times New Roman;serif" w:hAnsi="Times New Roman;serif"/>
          <w:b/>
          <w:color w:val="000000"/>
          <w:sz w:val="24"/>
          <w:u w:val="single"/>
        </w:rPr>
        <w:t>ERISA</w:t>
      </w:r>
      <w:r>
        <w:rPr>
          <w:color w:val="000000"/>
        </w:rPr>
        <w:t>”</w:t>
      </w:r>
      <w:r>
        <w:rPr>
          <w:rFonts w:ascii="Times New Roman;serif" w:hAnsi="Times New Roman;serif"/>
          <w:b w:val="false"/>
          <w:color w:val="000000"/>
          <w:sz w:val="24"/>
        </w:rPr>
        <w:t>), that is maintained, administered or contributed to by the Company or any of its affiliates for employees or former employees of the Company and any of its Subsidiaries (if any) has been maintained in material compliance with its terms and the requirements of any applicable statutes, orders, rules and regulations, including but not limited to ERISA and the Internal Revenue Code of 1986, as amended (the “</w:t>
      </w:r>
      <w:r>
        <w:rPr>
          <w:rFonts w:ascii="Times New Roman;serif" w:hAnsi="Times New Roman;serif"/>
          <w:b/>
          <w:color w:val="000000"/>
          <w:sz w:val="24"/>
          <w:u w:val="single"/>
        </w:rPr>
        <w:t>Code</w:t>
      </w:r>
      <w:r>
        <w:rPr>
          <w:color w:val="000000"/>
        </w:rPr>
        <w:t>”</w:t>
      </w:r>
      <w:r>
        <w:rPr>
          <w:rFonts w:ascii="Times New Roman;serif" w:hAnsi="Times New Roman;serif"/>
          <w:b w:val="false"/>
          <w:color w:val="000000"/>
          <w:sz w:val="24"/>
        </w:rPr>
        <w:t>), as would not, individually or in the aggregate, reasonably be expected to result in a Material Adverse Effect;no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(nn)    </w:t>
      </w:r>
      <w:r>
        <w:rPr>
          <w:rFonts w:ascii="Times New Roman;serif" w:hAnsi="Times New Roman;serif"/>
          <w:b w:val="false"/>
          <w:color w:val="000000"/>
          <w:sz w:val="24"/>
          <w:u w:val="single"/>
        </w:rPr>
        <w:t>Forward-Looking Statements</w:t>
      </w:r>
      <w:r>
        <w:rPr>
          <w:rFonts w:ascii="Times New Roman;serif" w:hAnsi="Times New Roman;serif"/>
          <w:b w:val="false"/>
          <w:color w:val="000000"/>
          <w:sz w:val="24"/>
        </w:rPr>
        <w:t>. No forward-looking statement (within the meaning of Section 27A of the Securities Act and Section 21E of the Exchange Act) (a “</w:t>
      </w:r>
      <w:r>
        <w:rPr>
          <w:rFonts w:ascii="Times New Roman;serif" w:hAnsi="Times New Roman;serif"/>
          <w:b/>
          <w:color w:val="000000"/>
          <w:sz w:val="24"/>
          <w:u w:val="single"/>
        </w:rPr>
        <w:t>Forward-Looking Statement</w:t>
      </w:r>
      <w:r>
        <w:rPr>
          <w:color w:val="000000"/>
        </w:rPr>
        <w:t>”</w:t>
      </w:r>
      <w:r>
        <w:rPr>
          <w:rFonts w:ascii="Times New Roman;serif" w:hAnsi="Times New Roman;serif"/>
          <w:b w:val="false"/>
          <w:color w:val="000000"/>
          <w:sz w:val="24"/>
        </w:rPr>
        <w:t>) contained in the Registration Statement and the Prospectus has been made or reaffirmed without a reasonable basis or has been disclosed other than in good faith.</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(oo)    </w:t>
      </w:r>
      <w:r>
        <w:rPr>
          <w:rFonts w:ascii="Times New Roman;serif" w:hAnsi="Times New Roman;serif"/>
          <w:b w:val="false"/>
          <w:color w:val="000000"/>
          <w:sz w:val="24"/>
          <w:u w:val="single"/>
        </w:rPr>
        <w:t>Agent Purchases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Research Analyst Independence</w:t>
      </w:r>
      <w:r>
        <w:rPr>
          <w:rFonts w:ascii="Times New Roman;serif" w:hAnsi="Times New Roman;serif"/>
          <w:b w:val="false"/>
          <w:color w:val="000000"/>
          <w:sz w:val="24"/>
        </w:rPr>
        <w:t xml:space="preserve">.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The Company further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contemplated by this Agreement that differ from the views of their respective investment banking divisions. </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(pp)    </w:t>
      </w:r>
      <w:r>
        <w:rPr>
          <w:rFonts w:ascii="Times New Roman;serif" w:hAnsi="Times New Roman;serif"/>
          <w:b w:val="false"/>
          <w:color w:val="000000"/>
          <w:sz w:val="24"/>
          <w:u w:val="single"/>
        </w:rPr>
        <w:t>Margin Rules</w:t>
      </w:r>
      <w:r>
        <w:rPr>
          <w:rFonts w:ascii="Times New Roman;serif" w:hAnsi="Times New Roman;serif"/>
          <w:b w:val="false"/>
          <w:color w:val="000000"/>
          <w:sz w:val="24"/>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erif" w:hAnsi="Times New Roman;serif"/>
          <w:b w:val="false"/>
          <w:color w:val="000000"/>
          <w:sz w:val="24"/>
        </w:rPr>
        <w:t>(qq)    </w:t>
      </w:r>
      <w:r>
        <w:rPr>
          <w:rFonts w:ascii="Times New Roman;serif" w:hAnsi="Times New Roman;serif"/>
          <w:b w:val="false"/>
          <w:color w:val="000000"/>
          <w:sz w:val="24"/>
          <w:u w:val="single"/>
        </w:rPr>
        <w:t>Insurance</w:t>
      </w:r>
      <w:r>
        <w:rPr>
          <w:rFonts w:ascii="Times New Roman;serif" w:hAnsi="Times New Roman;serif"/>
          <w:b w:val="false"/>
          <w:color w:val="000000"/>
          <w:sz w:val="24"/>
        </w:rPr>
        <w:t>. The Company and each of its Subsidiaries (if any) carry, or are covered by, insurance in such amounts and covering such risks as the Company reasonably believes are adequate for the conduct of their properties and as is customary for companies engaged in similar businesses in similar industries. Neither the Company nor its Subsidiaries (if any) has been refused any insurance coverage sought or applied for, except where the refusal would not, individually or in the aggregate, have a Material Adverse Effect.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(if any), taken as a whole.</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(rr)    </w:t>
      </w:r>
      <w:r>
        <w:rPr>
          <w:rFonts w:ascii="Times New Roman;serif" w:hAnsi="Times New Roman;serif"/>
          <w:b w:val="false"/>
          <w:color w:val="000000"/>
          <w:sz w:val="24"/>
          <w:u w:val="single"/>
        </w:rPr>
        <w:t>No Improper Practices</w:t>
      </w:r>
      <w:r>
        <w:rPr>
          <w:rFonts w:ascii="Times New Roman;serif" w:hAnsi="Times New Roman;serif"/>
          <w:b w:val="false"/>
          <w:color w:val="000000"/>
          <w:sz w:val="24"/>
        </w:rPr>
        <w:t>. (i) Neither the Company nor its Subsidiaries (if any), nor any director, officer, or employee of the Company or any Subsidiary (if any) nor, to the Company’s knowledge, any agent, affiliate or other person acting on behalf of the Company or any Subsidiary (if any)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Registration Statement and the Prospectus; (ii) no relationship, direct or indirect, exists between or among the Company or any Subsidiary (if any) or any affiliate of any of them, on the one hand, and the directors, officers and stockholders of the Company, on the other hand, that is required by the Securities Act to be described in the Registration Statement and the Prospectus that is not so described; (iii) except as described in the Registration Statement and the Prospectus, there are no material outstanding loans or advances or material guarantees of indebtedness by the Company or any Subsidiary (if any) to or for the benefit of any of their respective officers or directors or any of the members of the families of any of them, that is required by the Securities Act to be described in the Registration Statement and the Prospectus that is not so described; and (iv) the Company has not offered, or caused any placement agent to offer, Common Stock to any person with the intent to influence unlawfully (A) a customer or supplier of the Company or any Subsidiary (if any) to alter the customer’s or supplier’s level or type of business with the Company or any Subsidiary (if any) or (B) a trade journalist or publication to write or publish favorable information about the Company or any Subsidiary (if any) or any of their respective products or services, and, (v) neither the Company or any Subsidiary (if any) nor any director, officer or employee of the Company or any Subsidiary (if any) nor, to the Company’s knowledge, any agent, affiliate or other person acting on behalf of the Company or any Subsidiary (if any) has (A) violated or is in violation of any applicable provision of the U.S. Foreign Corrupt Practices Act of 1977, as amended, the UK Bribery Act 2010, as amended, or any other applicable anti-bribery or anti-corruption law (collectively, “</w:t>
      </w:r>
      <w:r>
        <w:rPr>
          <w:rFonts w:ascii="Times New Roman;serif" w:hAnsi="Times New Roman;serif"/>
          <w:b/>
          <w:color w:val="000000"/>
          <w:sz w:val="24"/>
          <w:u w:val="single"/>
        </w:rPr>
        <w:t>Anti-Corruption Laws</w:t>
      </w:r>
      <w:r>
        <w:rPr>
          <w:color w:val="000000"/>
        </w:rPr>
        <w:t>”</w:t>
      </w:r>
      <w:r>
        <w:rPr>
          <w:rFonts w:ascii="Times New Roman;serif" w:hAnsi="Times New Roman;serif"/>
          <w:b w:val="false"/>
          <w:color w:val="000000"/>
          <w:sz w:val="24"/>
        </w:rPr>
        <w:t>), (B) promised, offered, provided, attempted to provide or authorized the provision of anything of value, directly or indirectly, to any person for the purpose of obtaining or retaining business, influencing any act or decision of the recipient, or securing any improper advantage in violation of any Anti-Corruption Laws; or (C) made any payment of funds of the Company or any Subsidiary (if any) or received or retained any funds in violation of any Anti-Corruption Laws. The Company and its Subsidiaries (if any) and, to the knowledge of the Company, the Company’s affiliates have conducted their respective businesses in compliance with the Anti-Corruption Laws and have instituted and maintain policies and procedures designed to ensure, and which are reasonably expected to continue to ensure, continued compliance therewith.</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(ss)    </w:t>
      </w:r>
      <w:r>
        <w:rPr>
          <w:rFonts w:ascii="Times New Roman;serif" w:hAnsi="Times New Roman;serif"/>
          <w:b w:val="false"/>
          <w:color w:val="000000"/>
          <w:sz w:val="24"/>
          <w:u w:val="single"/>
        </w:rPr>
        <w:t>Status Under the Securities Act</w:t>
      </w:r>
      <w:r>
        <w:rPr>
          <w:rFonts w:ascii="Times New Roman;serif" w:hAnsi="Times New Roman;serif"/>
          <w:b w:val="false"/>
          <w:color w:val="000000"/>
          <w:sz w:val="24"/>
        </w:rPr>
        <w:t>. The Company was not and is not an ineligible issuer as defined in Rule 405 under the Securities Act at the times specified in Rules 164 and 433 under the Securities Act in connection with the offering of the Placement Shares.</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erif" w:hAnsi="Times New Roman;serif"/>
          <w:b w:val="false"/>
          <w:color w:val="000000"/>
          <w:sz w:val="24"/>
        </w:rPr>
        <w:t>(tt)    </w:t>
      </w:r>
      <w:r>
        <w:rPr>
          <w:rFonts w:ascii="Times New Roman;serif" w:hAnsi="Times New Roman;serif"/>
          <w:b w:val="false"/>
          <w:color w:val="000000"/>
          <w:sz w:val="24"/>
          <w:u w:val="single"/>
        </w:rPr>
        <w:t>No Misstatement or Omission in an Issuer Free Writing Prospectus</w:t>
      </w:r>
      <w:r>
        <w:rPr>
          <w:rFonts w:ascii="Times New Roman;serif" w:hAnsi="Times New Roman;serif"/>
          <w:b w:val="false"/>
          <w:color w:val="000000"/>
          <w:sz w:val="24"/>
        </w:rPr>
        <w:t>. Each Issuer Free Writing Prospectus, as of its issue date and as of each Applicable Time (as defined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(uu)    </w:t>
      </w:r>
      <w:r>
        <w:rPr>
          <w:rFonts w:ascii="Times New Roman;serif" w:hAnsi="Times New Roman;serif"/>
          <w:b w:val="false"/>
          <w:color w:val="000000"/>
          <w:sz w:val="24"/>
          <w:u w:val="single"/>
        </w:rPr>
        <w:t>No Conflicts</w:t>
      </w:r>
      <w:r>
        <w:rPr>
          <w:rFonts w:ascii="Times New Roman;serif" w:hAnsi="Times New Roman;serif"/>
          <w:b w:val="false"/>
          <w:color w:val="000000"/>
          <w:sz w:val="24"/>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(vv)    </w:t>
      </w:r>
      <w:r>
        <w:rPr>
          <w:rFonts w:ascii="Times New Roman;serif" w:hAnsi="Times New Roman;serif"/>
          <w:b w:val="false"/>
          <w:color w:val="000000"/>
          <w:sz w:val="24"/>
          <w:u w:val="single"/>
        </w:rPr>
        <w:t>Sanctions</w:t>
      </w:r>
      <w:r>
        <w:rPr>
          <w:rFonts w:ascii="Times New Roman;serif" w:hAnsi="Times New Roman;serif"/>
          <w:b w:val="false"/>
          <w:color w:val="000000"/>
          <w:sz w:val="24"/>
        </w:rPr>
        <w:t>. (i) The Company represents that, neither the Company nor any of its Subsidiaries (if any) (collectively, the “Entity”) or any director, officer, employee of the Entity nor, to the Company’s knowledge, any agent, affiliate or representative of the Entity, is a government, individual, or entity (in this paragraph (vv), “</w:t>
      </w:r>
      <w:r>
        <w:rPr>
          <w:rFonts w:ascii="Times New Roman;serif" w:hAnsi="Times New Roman;serif"/>
          <w:b/>
          <w:color w:val="000000"/>
          <w:sz w:val="24"/>
          <w:u w:val="single"/>
        </w:rPr>
        <w:t>Person</w:t>
      </w:r>
      <w:r>
        <w:rPr>
          <w:color w:val="000000"/>
        </w:rPr>
        <w:t>”</w:t>
      </w:r>
      <w:r>
        <w:rPr>
          <w:rFonts w:ascii="Times New Roman;serif" w:hAnsi="Times New Roman;serif"/>
          <w:b w:val="false"/>
          <w:color w:val="000000"/>
          <w:sz w:val="24"/>
        </w:rPr>
        <w:t>) that is, or is owned or controlled by a Person that is:</w:t>
      </w:r>
    </w:p>
    <w:p>
      <w:pPr>
        <w:pStyle w:val="TextBody"/>
        <w:bidi w:val="0"/>
        <w:spacing w:before="0" w:after="0"/>
        <w:ind w:left="0" w:right="0" w:firstLine="720"/>
        <w:jc w:val="both"/>
        <w:rPr/>
      </w:pPr>
      <w:r>
        <w:rPr/>
      </w:r>
    </w:p>
    <w:p>
      <w:pPr>
        <w:pStyle w:val="TextBody"/>
        <w:bidi w:val="0"/>
        <w:spacing w:lineRule="auto" w:line="268" w:before="0" w:after="0"/>
        <w:ind w:left="0" w:right="0" w:firstLine="2430"/>
        <w:jc w:val="both"/>
        <w:rPr/>
      </w:pPr>
      <w:r>
        <w:rPr>
          <w:rFonts w:ascii="Times New Roman;serif" w:hAnsi="Times New Roman;serif"/>
          <w:b w:val="false"/>
          <w:color w:val="000000"/>
          <w:sz w:val="24"/>
        </w:rPr>
        <w:t>(A)    the subject of any sanctions administered or enforced by the U.S. Department of Treasury’s Office of Foreign Assets Control (“</w:t>
      </w:r>
      <w:r>
        <w:rPr>
          <w:rFonts w:ascii="Times New Roman;serif" w:hAnsi="Times New Roman;serif"/>
          <w:b/>
          <w:color w:val="000000"/>
          <w:sz w:val="24"/>
          <w:u w:val="single"/>
        </w:rPr>
        <w:t>OFAC</w:t>
      </w:r>
      <w:r>
        <w:rPr>
          <w:color w:val="000000"/>
        </w:rPr>
        <w:t>”</w:t>
      </w:r>
      <w:r>
        <w:rPr>
          <w:rFonts w:ascii="Times New Roman;serif" w:hAnsi="Times New Roman;serif"/>
          <w:b w:val="false"/>
          <w:color w:val="000000"/>
          <w:sz w:val="24"/>
        </w:rPr>
        <w:t>), the United Nations Security Council, the European Union, His Majesty’s Treasury, or other relevant sanctions authorities, including, without limitation, designation on OFAC’s Specially Designated Nationals and Blocked Persons List or OFAC’s Foreign Sanctions Evaders List (as amended, collectively, “</w:t>
      </w:r>
      <w:r>
        <w:rPr>
          <w:rFonts w:ascii="Times New Roman;serif" w:hAnsi="Times New Roman;serif"/>
          <w:b/>
          <w:color w:val="000000"/>
          <w:sz w:val="24"/>
          <w:u w:val="single"/>
        </w:rPr>
        <w:t>Sanctions</w:t>
      </w:r>
      <w:r>
        <w:rPr>
          <w:color w:val="000000"/>
        </w:rPr>
        <w:t>”</w:t>
      </w:r>
      <w:r>
        <w:rPr>
          <w:rFonts w:ascii="Times New Roman;serif" w:hAnsi="Times New Roman;serif"/>
          <w:b w:val="false"/>
          <w:color w:val="000000"/>
          <w:sz w:val="24"/>
        </w:rPr>
        <w:t>), nor</w:t>
      </w:r>
    </w:p>
    <w:p>
      <w:pPr>
        <w:pStyle w:val="TextBody"/>
        <w:bidi w:val="0"/>
        <w:spacing w:before="0" w:after="0"/>
        <w:ind w:left="0" w:right="0" w:firstLine="2430"/>
        <w:jc w:val="both"/>
        <w:rPr/>
      </w:pPr>
      <w:r>
        <w:rPr/>
      </w:r>
    </w:p>
    <w:p>
      <w:pPr>
        <w:pStyle w:val="TextBody"/>
        <w:bidi w:val="0"/>
        <w:spacing w:lineRule="auto" w:line="268" w:before="0" w:after="0"/>
        <w:ind w:left="0" w:right="0" w:firstLine="2430"/>
        <w:jc w:val="both"/>
        <w:rPr/>
      </w:pPr>
      <w:r>
        <w:rPr>
          <w:rFonts w:ascii="Times New Roman;serif" w:hAnsi="Times New Roman;serif"/>
          <w:b w:val="false"/>
          <w:color w:val="000000"/>
          <w:sz w:val="24"/>
        </w:rPr>
        <w:t>(B)    located, organized or resident in a country or territory that is the subject of Sanctions that broadly prohibit dealings with that country or territory (as of the date hereof, Cuba, Iran, North Korea, Syria, the so-called Donetsk People’s Republic, the so-called Luhansk People’s Republic, the Crimea Region of Ukraine, the non-government controlled areas of the Zaporizhzhia and Kherson Regions of Ukraine (or any other Covered Region of Ukraine identified pursuant to Executive Order 14065)) (the “</w:t>
      </w:r>
      <w:r>
        <w:rPr>
          <w:rFonts w:ascii="Times New Roman;serif" w:hAnsi="Times New Roman;serif"/>
          <w:b/>
          <w:color w:val="000000"/>
          <w:sz w:val="24"/>
          <w:u w:val="single"/>
        </w:rPr>
        <w:t>Sanctioned Countries</w:t>
      </w:r>
      <w:r>
        <w:rPr>
          <w:color w:val="000000"/>
        </w:rPr>
        <w:t>”</w:t>
      </w:r>
      <w:r>
        <w:rPr>
          <w:rFonts w:ascii="Times New Roman;serif" w:hAnsi="Times New Roman;serif"/>
          <w:b w:val="false"/>
          <w:color w:val="000000"/>
          <w:sz w:val="24"/>
        </w:rPr>
        <w:t>).</w:t>
      </w:r>
    </w:p>
    <w:p>
      <w:pPr>
        <w:pStyle w:val="TextBody"/>
        <w:bidi w:val="0"/>
        <w:spacing w:before="0" w:after="0"/>
        <w:ind w:left="0" w:right="0" w:firstLine="243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Entity represents and covenants that it will not, directly or indirectly, use the proceeds of the offering, or lend, contribute or otherwise make available such proceeds to any subsidiary (if any), joint venture partner or other Person:</w:t>
      </w:r>
    </w:p>
    <w:p>
      <w:pPr>
        <w:pStyle w:val="TextBody"/>
        <w:bidi w:val="0"/>
        <w:spacing w:before="0" w:after="0"/>
        <w:ind w:left="0" w:right="0" w:firstLine="720"/>
        <w:jc w:val="both"/>
        <w:rPr/>
      </w:pPr>
      <w:r>
        <w:rPr/>
      </w:r>
    </w:p>
    <w:p>
      <w:pPr>
        <w:pStyle w:val="TextBody"/>
        <w:bidi w:val="0"/>
        <w:spacing w:lineRule="auto" w:line="268" w:before="0" w:after="0"/>
        <w:ind w:left="0" w:right="0" w:firstLine="2430"/>
        <w:jc w:val="both"/>
        <w:rPr>
          <w:rFonts w:ascii="Times New Roman;serif" w:hAnsi="Times New Roman;serif"/>
          <w:b w:val="false"/>
          <w:color w:val="000000"/>
          <w:sz w:val="24"/>
        </w:rPr>
      </w:pPr>
      <w:r>
        <w:rPr>
          <w:rFonts w:ascii="Times New Roman;serif" w:hAnsi="Times New Roman;serif"/>
          <w:b w:val="false"/>
          <w:color w:val="000000"/>
          <w:sz w:val="24"/>
        </w:rPr>
        <w:t>(A)    to fund or facilitate any activities or business of or with any Person or in any country or territory that, at the time of such funding or facilitation, is the subject of Sanctions or is a Sanctioned Country; or</w:t>
      </w:r>
    </w:p>
    <w:p>
      <w:pPr>
        <w:pStyle w:val="TextBody"/>
        <w:bidi w:val="0"/>
        <w:spacing w:before="0" w:after="0"/>
        <w:ind w:left="0" w:right="0" w:firstLine="2430"/>
        <w:jc w:val="both"/>
        <w:rPr/>
      </w:pPr>
      <w:r>
        <w:rPr/>
      </w:r>
    </w:p>
    <w:p>
      <w:pPr>
        <w:pStyle w:val="TextBody"/>
        <w:bidi w:val="0"/>
        <w:spacing w:lineRule="auto" w:line="268" w:before="0" w:after="0"/>
        <w:ind w:left="0" w:right="0" w:firstLine="2430"/>
        <w:jc w:val="both"/>
        <w:rPr>
          <w:rFonts w:ascii="Times New Roman;serif" w:hAnsi="Times New Roman;serif"/>
          <w:b w:val="false"/>
          <w:color w:val="000000"/>
          <w:sz w:val="24"/>
        </w:rPr>
      </w:pPr>
      <w:r>
        <w:rPr>
          <w:rFonts w:ascii="Times New Roman;serif" w:hAnsi="Times New Roman;serif"/>
          <w:b w:val="false"/>
          <w:color w:val="000000"/>
          <w:sz w:val="24"/>
        </w:rPr>
        <w:t>(B)    in any other manner that will result in a violation of Sanctions by any Person (including any Person participating in the offering, whether as underwriter, advisor, investor or otherwise).</w:t>
      </w:r>
    </w:p>
    <w:p>
      <w:pPr>
        <w:pStyle w:val="TextBody"/>
        <w:bidi w:val="0"/>
        <w:ind w:left="0" w:right="0" w:firstLine="243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Entity represents and covenants that, except as detailed in the Registration Statement and the Prospectus, during the applicable statute of limitations period, it has not engaged in, is not now engaging in, and will not engage in, any dealings or transactions with any Person, or in any country or territory, that at the time of the dealing or transaction is or was the subject of Sanctions or is or was a Sanctioned Country in violation of applicable Sanctions.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(ww)    </w:t>
      </w:r>
      <w:r>
        <w:rPr>
          <w:rFonts w:ascii="Times New Roman;serif" w:hAnsi="Times New Roman;serif"/>
          <w:b w:val="false"/>
          <w:color w:val="000000"/>
          <w:sz w:val="24"/>
          <w:u w:val="single"/>
        </w:rPr>
        <w:t>Export Compliance</w:t>
      </w:r>
      <w:r>
        <w:rPr>
          <w:rFonts w:ascii="Times New Roman;serif" w:hAnsi="Times New Roman;serif"/>
          <w:b w:val="false"/>
          <w:color w:val="000000"/>
          <w:sz w:val="24"/>
        </w:rPr>
        <w:t>. Neither the Company nor any of its Subsidiaries (if any) has, nor has any director, officer, employee, nor to the Company’s knowledge, any agent or other Person acting on behalf of the Company or any of its Subsidiaries (if any) violated or failed to comply with any applicable law related to the export or reexport of goods (including hardware, software, technology and data), services and know-how except in such cases as would not reasonably be expected, individually or in the aggregate, to have a Material Adverse Effect.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(xx)    </w:t>
      </w:r>
      <w:r>
        <w:rPr>
          <w:rFonts w:ascii="Times New Roman;serif" w:hAnsi="Times New Roman;serif"/>
          <w:b w:val="false"/>
          <w:color w:val="000000"/>
          <w:sz w:val="24"/>
          <w:u w:val="single"/>
        </w:rPr>
        <w:t>Stock Transfer Taxes</w:t>
      </w:r>
      <w:r>
        <w:rPr>
          <w:rFonts w:ascii="Times New Roman;serif" w:hAnsi="Times New Roman;serif"/>
          <w:b w:val="false"/>
          <w:color w:val="000000"/>
          <w:sz w:val="24"/>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(yy)    [Reserved].</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(zz)    </w:t>
      </w:r>
      <w:r>
        <w:rPr>
          <w:rFonts w:ascii="Times New Roman;serif" w:hAnsi="Times New Roman;serif"/>
          <w:b w:val="false"/>
          <w:color w:val="000000"/>
          <w:sz w:val="24"/>
          <w:u w:val="single"/>
        </w:rPr>
        <w:t>Statistical and Market-Related Data</w:t>
      </w:r>
      <w:r>
        <w:rPr>
          <w:rFonts w:ascii="Times New Roman;serif" w:hAnsi="Times New Roman;serif"/>
          <w:b w:val="false"/>
          <w:color w:val="000000"/>
          <w:sz w:val="24"/>
        </w:rPr>
        <w:t>. The statistical, demographic and market-related data included in the Registration Statement and Prospectus are based on or derived from sources that the Company believes to be reliable and accurate or represent the Company’s good faith estimates that are made on the basis of data derived from such sources.</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(aaa)    </w:t>
      </w:r>
      <w:r>
        <w:rPr>
          <w:rFonts w:ascii="Times New Roman;serif" w:hAnsi="Times New Roman;serif"/>
          <w:b w:val="false"/>
          <w:color w:val="000000"/>
          <w:sz w:val="24"/>
          <w:u w:val="single"/>
        </w:rPr>
        <w:t>Cybersecurity</w:t>
      </w:r>
      <w:r>
        <w:rPr>
          <w:rFonts w:ascii="Times New Roman;serif" w:hAnsi="Times New Roman;serif"/>
          <w:b w:val="false"/>
          <w:color w:val="000000"/>
          <w:sz w:val="24"/>
        </w:rPr>
        <w:t>. The information technology assets and equipment, computers, systems, networks, hardware, software, websites, applications, and databases of the Company’s and its Subsidiaries (if any) (collectively, “</w:t>
      </w:r>
      <w:r>
        <w:rPr>
          <w:rFonts w:ascii="Times New Roman;serif" w:hAnsi="Times New Roman;serif"/>
          <w:b/>
          <w:color w:val="000000"/>
          <w:sz w:val="24"/>
          <w:u w:val="single"/>
        </w:rPr>
        <w:t>IT Systems</w:t>
      </w:r>
      <w:r>
        <w:rPr>
          <w:color w:val="000000"/>
        </w:rPr>
        <w:t>”</w:t>
      </w:r>
      <w:r>
        <w:rPr>
          <w:rFonts w:ascii="Times New Roman;serif" w:hAnsi="Times New Roman;serif"/>
          <w:b w:val="false"/>
          <w:color w:val="000000"/>
          <w:sz w:val="24"/>
        </w:rPr>
        <w:t>) are adequate for, and operate and perform in all material respects as required in connection with the operation of the business of the Company and each of its Subsidiaries (if any) as currently conducted, free and clear of all material bugs, errors, defects, Trojan horses, time bombs, malware and other corruptants. The Company and its Subsidiaries (if any)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Times New Roman;serif" w:hAnsi="Times New Roman;serif"/>
          <w:b/>
          <w:color w:val="000000"/>
          <w:sz w:val="24"/>
          <w:u w:val="single"/>
        </w:rPr>
        <w:t>Confidential Data</w:t>
      </w:r>
      <w:r>
        <w:rPr>
          <w:color w:val="000000"/>
        </w:rPr>
        <w:t>”</w:t>
      </w:r>
      <w:r>
        <w:rPr>
          <w:rFonts w:ascii="Times New Roman;serif" w:hAnsi="Times New Roman;serif"/>
          <w:b w:val="false"/>
          <w:color w:val="000000"/>
          <w:sz w:val="24"/>
        </w:rPr>
        <w:t>) used in connection with their businesses. “</w:t>
      </w:r>
      <w:r>
        <w:rPr>
          <w:rFonts w:ascii="Times New Roman;serif" w:hAnsi="Times New Roman;serif"/>
          <w:b/>
          <w:color w:val="000000"/>
          <w:sz w:val="24"/>
          <w:u w:val="single"/>
        </w:rPr>
        <w:t>Personal Data</w:t>
      </w:r>
      <w:r>
        <w:rPr>
          <w:color w:val="000000"/>
        </w:rPr>
        <w:t xml:space="preserve">” </w:t>
      </w:r>
      <w:r>
        <w:rPr>
          <w:rFonts w:ascii="Times New Roman;serif" w:hAnsi="Times New Roman;serif"/>
          <w:b w:val="false"/>
          <w:color w:val="000000"/>
          <w:sz w:val="24"/>
        </w:rPr>
        <w:t>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serif" w:hAnsi="Times New Roman;serif"/>
          <w:b/>
          <w:color w:val="000000"/>
          <w:sz w:val="24"/>
          <w:u w:val="single"/>
        </w:rPr>
        <w:t>HIPAA</w:t>
      </w:r>
      <w:r>
        <w:rPr>
          <w:color w:val="000000"/>
        </w:rPr>
        <w:t>”</w:t>
      </w:r>
      <w:r>
        <w:rPr>
          <w:rFonts w:ascii="Times New Roman;serif" w:hAnsi="Times New Roman;serif"/>
          <w:b w:val="false"/>
          <w:color w:val="000000"/>
          <w:sz w:val="24"/>
        </w:rPr>
        <w:t>); (v) any “personal information” as defined by the California Consumer Privacy Act (“</w:t>
      </w:r>
      <w:r>
        <w:rPr>
          <w:rFonts w:ascii="Times New Roman;serif" w:hAnsi="Times New Roman;serif"/>
          <w:b/>
          <w:color w:val="000000"/>
          <w:sz w:val="24"/>
          <w:u w:val="single"/>
        </w:rPr>
        <w:t>CCPA</w:t>
      </w:r>
      <w:r>
        <w:rPr>
          <w:color w:val="000000"/>
        </w:rPr>
        <w:t>”</w:t>
      </w:r>
      <w:r>
        <w:rPr>
          <w:rFonts w:ascii="Times New Roman;serif" w:hAnsi="Times New Roman;serif"/>
          <w:b w:val="false"/>
          <w:color w:val="000000"/>
          <w:sz w:val="24"/>
        </w:rPr>
        <w:t xml:space="preserve">); and (vi)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(if any) are presently in material compliance with all applicable laws or statutes and all judgments, orders, rules and regulations of any court or arbitrator or governmental or regulatory authority, internal policies and </w:t>
      </w: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contractual obligations relating to the privacy and security of IT Systems, Confidential Data, and Personal Data and to the protection of such IT Systems, Confidential Data, and Personal Data from unauthorized use, access, misappropriation or modification.</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(bbb)    </w:t>
      </w:r>
      <w:r>
        <w:rPr>
          <w:rFonts w:ascii="Times New Roman;serif" w:hAnsi="Times New Roman;serif"/>
          <w:b w:val="false"/>
          <w:color w:val="000000"/>
          <w:sz w:val="24"/>
          <w:u w:val="single"/>
        </w:rPr>
        <w:t>Compliance with Data Privacy Laws</w:t>
      </w:r>
      <w:r>
        <w:rPr>
          <w:rFonts w:ascii="Times New Roman;serif" w:hAnsi="Times New Roman;serif"/>
          <w:b w:val="false"/>
          <w:color w:val="000000"/>
          <w:sz w:val="24"/>
        </w:rPr>
        <w:t>. The Company and its Subsidiaries (if any) are, and at all prior times were, in material compliance with all applicable state and federal data privacy and security laws and regulations, including without limitation, if applicable, HIPAA, CCPA, and the European Union General Data Protection Regulation (“</w:t>
      </w:r>
      <w:r>
        <w:rPr>
          <w:rFonts w:ascii="Times New Roman;serif" w:hAnsi="Times New Roman;serif"/>
          <w:b/>
          <w:color w:val="000000"/>
          <w:sz w:val="24"/>
          <w:u w:val="single"/>
        </w:rPr>
        <w:t>GDPR</w:t>
      </w:r>
      <w:r>
        <w:rPr>
          <w:color w:val="000000"/>
        </w:rPr>
        <w:t>”</w:t>
      </w:r>
      <w:r>
        <w:rPr>
          <w:rFonts w:ascii="Times New Roman;serif" w:hAnsi="Times New Roman;serif"/>
          <w:b w:val="false"/>
          <w:color w:val="000000"/>
          <w:sz w:val="24"/>
        </w:rPr>
        <w:t>) (EU 2016/679) (collectively, the “</w:t>
      </w:r>
      <w:r>
        <w:rPr>
          <w:rFonts w:ascii="Times New Roman;serif" w:hAnsi="Times New Roman;serif"/>
          <w:b/>
          <w:color w:val="000000"/>
          <w:sz w:val="24"/>
          <w:u w:val="single"/>
        </w:rPr>
        <w:t>Privacy Laws</w:t>
      </w:r>
      <w:r>
        <w:rPr>
          <w:color w:val="000000"/>
        </w:rPr>
        <w:t>”</w:t>
      </w:r>
      <w:r>
        <w:rPr>
          <w:rFonts w:ascii="Times New Roman;serif" w:hAnsi="Times New Roman;serif"/>
          <w:b w:val="false"/>
          <w:color w:val="000000"/>
          <w:sz w:val="24"/>
        </w:rPr>
        <w:t>). To ensure compliance with the Privacy Laws, the Company has in place, complies with, and takes appropriate steps reasonably designed to ensure compliance in all material respects with their policies and procedures relating to data privacy and security and the collection, storage, use, processing, disclosure, handling, and analysis of Personal Data and Confidential Data (the “</w:t>
      </w:r>
      <w:r>
        <w:rPr>
          <w:rFonts w:ascii="Times New Roman;serif" w:hAnsi="Times New Roman;serif"/>
          <w:b/>
          <w:color w:val="000000"/>
          <w:sz w:val="24"/>
          <w:u w:val="single"/>
        </w:rPr>
        <w:t>Policies</w:t>
      </w:r>
      <w:r>
        <w:rPr>
          <w:color w:val="000000"/>
        </w:rPr>
        <w:t>”</w:t>
      </w:r>
      <w:r>
        <w:rPr>
          <w:rFonts w:ascii="Times New Roman;serif" w:hAnsi="Times New Roman;serif"/>
          <w:b w:val="false"/>
          <w:color w:val="000000"/>
          <w:sz w:val="24"/>
        </w:rPr>
        <w:t>). The Company has at all times made all disclosures to users or customers required by applicable laws and regulatory rules or requirements to be made by the Company, and none of such disclosures made or contained in any Policy have been in violation of any applicable laws and regulatory rules or requirements in any material respect. The Company further certifies that neither it nor any Subsidiary (if any): (i) has received written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(ccc)    </w:t>
      </w:r>
      <w:r>
        <w:rPr>
          <w:rFonts w:ascii="Times New Roman;serif" w:hAnsi="Times New Roman;serif"/>
          <w:b w:val="false"/>
          <w:color w:val="000000"/>
          <w:sz w:val="24"/>
          <w:u w:val="single"/>
        </w:rPr>
        <w:t>Emerging Growth Company Status</w:t>
      </w:r>
      <w:r>
        <w:rPr>
          <w:rFonts w:ascii="Times New Roman;serif" w:hAnsi="Times New Roman;serif"/>
          <w:b w:val="false"/>
          <w:color w:val="000000"/>
          <w:sz w:val="24"/>
        </w:rPr>
        <w:t>. From the time of the initial filing of the Company’s first registration statement with the Commission through the date hereof, the Company has been and is an “emerging growth company,” as defined in Section 2(a) of the Securities Act (an “</w:t>
      </w:r>
      <w:r>
        <w:rPr>
          <w:rFonts w:ascii="Times New Roman;serif" w:hAnsi="Times New Roman;serif"/>
          <w:b/>
          <w:color w:val="000000"/>
          <w:sz w:val="24"/>
          <w:u w:val="single"/>
        </w:rPr>
        <w:t>Emerging Growth Company</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(ddd)    </w:t>
      </w:r>
      <w:r>
        <w:rPr>
          <w:rFonts w:ascii="Times New Roman;serif" w:hAnsi="Times New Roman;serif"/>
          <w:b w:val="false"/>
          <w:color w:val="000000"/>
          <w:sz w:val="24"/>
          <w:u w:val="single"/>
        </w:rPr>
        <w:t>Bankruptcy</w:t>
      </w:r>
      <w:r>
        <w:rPr>
          <w:rFonts w:ascii="Times New Roman;serif" w:hAnsi="Times New Roman;serif"/>
          <w:b w:val="false"/>
          <w:color w:val="000000"/>
          <w:sz w:val="24"/>
        </w:rPr>
        <w:t>. The Company is not in or subject to a bankruptcy or insolvency proceeding in any jurisdiction.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Covenants of the Company</w:t>
      </w:r>
      <w:r>
        <w:rPr>
          <w:rFonts w:ascii="Times New Roman;serif" w:hAnsi="Times New Roman;serif"/>
          <w:b w:val="false"/>
          <w:color w:val="000000"/>
          <w:sz w:val="24"/>
        </w:rPr>
        <w:t>. The Company covenants and agrees with the Agent that:</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Registration Statement Amendments</w:t>
      </w:r>
      <w:r>
        <w:rPr>
          <w:rFonts w:ascii="Times New Roman;serif" w:hAnsi="Times New Roman;serif"/>
          <w:b w:val="false"/>
          <w:color w:val="000000"/>
          <w:sz w:val="24"/>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or similar rule), (i) the Company will notify the Agent promptly of the time when any subsequent amendment to the Registration Statement, other than Incorporated Documents, has been filed with the Commission and/or has become effective, any Rule 462(b) Registration Statement has been filed with the Commission or any subsequent supplement to the Prospectus has been filed and of any request by the Commission for any amendment or supplement to the Registration Statement or Prospectus or for additional information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that the Company shall not be obligated to notify the Agent of the filing of any Incorporated Documents which do not discuss this Agreement, the Placement or the Agent),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failure of the Agent to make such request shall not relieve the Company of any </w:t>
      </w: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obligation or liability hereunder, or affect the Agent’s right to rely on the representations and warranties made by the Company in this Agreement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the only remedy the Agent shall have with respect to the failure by the Company to make such filing (but without limiting the Agent’s rights under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hereof) shall be to cease making sales under this Agreement until such amendment or supplement is filed); (iii) the Company will not file any amendment or supplement to the Registration Statement or Prospectus or any Rule 462(b) Registration Statement relating to the Placement Shares or a security convertible into or exchangeable or exercisable for the Placement Shares unless a copy thereof has been submitted to the Agent within a reasonable period of time before the filing and the Agent has not objected thereto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failure of the Agent to make such objection shall not relieve the Company of any obligation or liability hereunder, or affect the Agent’s right to rely on the representations and warranties made by the Company in this Agreement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the only remedy the Agent shall have with respect to the failure by the Company to obtain such consent (but without limiting the Agent’s rights under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hereof) shall be to cease making sales under this Agreement) and the Company will furnish to the Agent at the time of filing thereof a copy of any Incorporated Documents, except for those documents available via EDGAR or any successor system; and (iv) the Company will cause each amendment or supplement to the Prospectus to be filed with the Commission as required pursuant to the applicable paragraph of Rule 424(b) of the Securities Act or, in the case of Incorporated Documents, to be filed with the Commission as required pursuant to the Exchange Act, within the time period prescribed (the determination to file or not file any amendment or supplement with the Commission under this </w:t>
      </w:r>
      <w:r>
        <w:rPr>
          <w:rFonts w:ascii="Times New Roman;serif" w:hAnsi="Times New Roman;serif"/>
          <w:b w:val="false"/>
          <w:color w:val="000000"/>
          <w:sz w:val="24"/>
          <w:u w:val="single"/>
        </w:rPr>
        <w:t>Section 7(a)</w:t>
      </w:r>
      <w:r>
        <w:rPr>
          <w:rFonts w:ascii="Times New Roman;serif" w:hAnsi="Times New Roman;serif"/>
          <w:b w:val="false"/>
          <w:color w:val="000000"/>
          <w:sz w:val="24"/>
        </w:rPr>
        <w:t>, based on the Company’s reasonable opinion or reasonable objections, shall be made exclusively by the Company).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Notice of Commission Stop Orders</w:t>
      </w:r>
      <w:r>
        <w:rPr>
          <w:rFonts w:ascii="Times New Roman;serif" w:hAnsi="Times New Roman;serif"/>
          <w:b w:val="false"/>
          <w:color w:val="000000"/>
          <w:sz w:val="24"/>
        </w:rPr>
        <w:t>. The Company will advise the Agent, promptly after it receives notice or obtains knowledge thereof, of the issuance or threatened issuance by the Commission of any stop order suspending the effectiveness of the Registration Statement or any Rule 462(b)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Rule 462(b) Registration Statement or any amendment or supplements to the Prospectus or any Issuer Free Writing Prospectus or for additional information related to the offering of the Placement Shares or for additional information related to the Registration Statement, any Rule 462(b) Registration Statement, the Prospectus or any Issuer Free Writing Prospectus.</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Delivery of Prospectus; Subsequent Changes</w:t>
      </w:r>
      <w:r>
        <w:rPr>
          <w:rFonts w:ascii="Times New Roman;serif" w:hAnsi="Times New Roman;serif"/>
          <w:b w:val="false"/>
          <w:color w:val="000000"/>
          <w:sz w:val="24"/>
        </w:rPr>
        <w:t xml:space="preserve">.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commercially reasonable efforts to comply in all material respects with all requirements imposed upon it by the Securities Act, as from time to time in force, and will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commercially reasonable efforts to comply with the provisions of and make all requisite filings with the Commission pursuant to said Rule 430B and to notify the Agent promptly of all such filings and to notify the Agent promptly of all such filings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only remedy the Agent shall have with respect to the failure by the Company to file such amendment or supplement to the Registration Statement or Prospectus (but without limiting the Agent’s rights under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hereof) shall be to cease making sales under this Agreement), it being acknowledged that the Company may delay the filing of any amendment or supplement, if, in the judgment of the Company, it is in the best interest of the Company.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Listing of Placement Shares</w:t>
      </w:r>
      <w:r>
        <w:rPr>
          <w:rFonts w:ascii="Times New Roman;serif" w:hAnsi="Times New Roman;serif"/>
          <w:b w:val="false"/>
          <w:color w:val="000000"/>
          <w:sz w:val="24"/>
        </w:rPr>
        <w:t>. During any period in which the Prospectus relating to the Placement Shares is required to be delivered by the Agent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the Exchange.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Delivery of Registration Statement and Prospectus</w:t>
      </w:r>
      <w:r>
        <w:rPr>
          <w:rFonts w:ascii="Times New Roman;serif" w:hAnsi="Times New Roman;serif"/>
          <w:b w:val="false"/>
          <w:color w:val="000000"/>
          <w:sz w:val="24"/>
        </w:rPr>
        <w:t xml:space="preserve">.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Incorporated Documents),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shall not be required to furnish any document (other than the Prospectus) to the Agent to the extent such document is available on EDGAR.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Earning Statement</w:t>
      </w:r>
      <w:r>
        <w:rPr>
          <w:rFonts w:ascii="Times New Roman;serif" w:hAnsi="Times New Roman;serif"/>
          <w:b w:val="false"/>
          <w:color w:val="000000"/>
          <w:sz w:val="24"/>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 provided that the Company will be deemed to have furnished such statement to its security holders to the extent it is available on EDGAR.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The Company will use the Net Proceeds as described in the Prospectus in the section entitled “Use of Proceeds.”</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Notice of Other Sales</w:t>
      </w:r>
      <w:r>
        <w:rPr>
          <w:rFonts w:ascii="Times New Roman;serif" w:hAnsi="Times New Roman;serif"/>
          <w:b w:val="false"/>
          <w:color w:val="000000"/>
          <w:sz w:val="24"/>
        </w:rPr>
        <w:t>.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or exercisable for Common Stock, warrants or any rights to purchase or acquire, Common Stock during the period beginning on the fifth (5</w:t>
      </w:r>
      <w:r>
        <w:rPr>
          <w:rFonts w:ascii="Times New Roman;serif" w:hAnsi="Times New Roman;serif"/>
          <w:b w:val="false"/>
          <w:color w:val="000000"/>
          <w:sz w:val="13"/>
        </w:rPr>
        <w:t>th</w:t>
      </w:r>
      <w:r>
        <w:rPr>
          <w:rFonts w:ascii="Times New Roman;serif" w:hAnsi="Times New Roman;serif"/>
          <w:b w:val="false"/>
          <w:color w:val="000000"/>
          <w:sz w:val="24"/>
        </w:rPr>
        <w:t>) Trading Day immediately prior to the date on which any Placement Notice is delivered to Agent hereunder and ending on the fifth (5</w:t>
      </w:r>
      <w:r>
        <w:rPr>
          <w:rFonts w:ascii="Times New Roman;serif" w:hAnsi="Times New Roman;serif"/>
          <w:b w:val="false"/>
          <w:color w:val="000000"/>
          <w:sz w:val="13"/>
        </w:rPr>
        <w:t>th</w:t>
      </w:r>
      <w:r>
        <w:rPr>
          <w:rFonts w:ascii="Times New Roman;serif" w:hAnsi="Times New Roman;serif"/>
          <w:b w:val="false"/>
          <w:color w:val="000000"/>
          <w:sz w:val="24"/>
        </w:rPr>
        <w:t xml:space="preserve">)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equity line of credit or other continuous equity transaction offer to sell, sell, contract to sell, grant any option to sell or otherwise dispose of any Common Stock (other than the Placement Shares offered pursuant to this Agreement) or securities convertible into or exchangeable or </w:t>
      </w: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exercisable for Common Stock, warrants or any rights to purchase or acquire, Common Stock prior to the sixtieth (60</w:t>
      </w:r>
      <w:r>
        <w:rPr>
          <w:rFonts w:ascii="Times New Roman;serif" w:hAnsi="Times New Roman;serif"/>
          <w:b w:val="false"/>
          <w:color w:val="000000"/>
          <w:sz w:val="13"/>
        </w:rPr>
        <w:t>th</w:t>
      </w:r>
      <w:r>
        <w:rPr>
          <w:rFonts w:ascii="Times New Roman;serif" w:hAnsi="Times New Roman;serif"/>
          <w:b w:val="false"/>
          <w:color w:val="000000"/>
          <w:sz w:val="24"/>
        </w:rPr>
        <w:t xml:space="preserve">) day immediately following the termination of this Agreement;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restrictions will not be required in connection with the Company’s issuance or sale of (i) Common Stock, options to purchase Common Stock or other equity awards for Common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Stock, or Common Stock issuable upon the exercise of options or vesting and settlement of any equity award, pursuant to any employee or director stock option or benefits plan, stock ownership plan or dividend reinvestment plan (but not Common Stock subject to a waiver to exceed plan limits in its dividend reinvestment plan) or other compensation plan of the Company whether now in effect or hereafter implemented (including any amendments or modifications to the foregoing), (ii) Common Stock issuable upon conversion of securities or the exercise of warrants, options or other rights in effect or outstanding, and disclosed in filings by the Company available on EDGAR or otherwise in writing to the Agent and (iii) Common Stock or securities convertible into or exchangeable for shares of Common Stock as consideration for mergers, acquisitions, other business combinations or strategic alliances, collaborations, partnerships, joint ventures or similar transactions occurring after the date of this Agreement which are not issued for the primary purpose of capital raising.</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Change of Circumstances</w:t>
      </w:r>
      <w:r>
        <w:rPr>
          <w:rFonts w:ascii="Times New Roman;serif" w:hAnsi="Times New Roman;serif"/>
          <w:b w:val="false"/>
          <w:color w:val="000000"/>
          <w:sz w:val="24"/>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Due Diligence Cooperation</w:t>
      </w:r>
      <w:r>
        <w:rPr>
          <w:rFonts w:ascii="Times New Roman;serif" w:hAnsi="Times New Roman;serif"/>
          <w:b w:val="false"/>
          <w:color w:val="000000"/>
          <w:sz w:val="24"/>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or via remote digital access, as the Agent may reasonably request, provided, however, that the obligation to make senior corporate officers available for diligence calls shall only be required in connection with the delivery of a Placement Notice or Representation Dates hereunder.</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Required Filings Relating to Placement of Placement Shares</w:t>
      </w:r>
      <w:r>
        <w:rPr>
          <w:rFonts w:ascii="Times New Roman;serif" w:hAnsi="Times New Roman;serif"/>
          <w:b w:val="false"/>
          <w:color w:val="000000"/>
          <w:sz w:val="24"/>
        </w:rPr>
        <w:t>. The Company shall disclose, in its Quarterly Reports on Form 10-Q and in its Annual Report on Form 10-K to be filed by the Company with the Commission from time to time, the number of the Placement Shares sold through the Agent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the Company will (i) file a prospectus supplement with the Commission under the applicable paragraph of Rule 424(b) under the Securities Act (each and every filing date under Rule 424(b), a “</w:t>
      </w:r>
      <w:r>
        <w:rPr>
          <w:rFonts w:ascii="Times New Roman;serif" w:hAnsi="Times New Roman;serif"/>
          <w:b/>
          <w:color w:val="000000"/>
          <w:sz w:val="24"/>
          <w:u w:val="single"/>
        </w:rPr>
        <w:t>Filing Date</w:t>
      </w:r>
      <w:r>
        <w:rPr>
          <w:color w:val="000000"/>
        </w:rPr>
        <w:t>”</w:t>
      </w:r>
      <w:r>
        <w:rPr>
          <w:rFonts w:ascii="Times New Roman;serif" w:hAnsi="Times New Roman;serif"/>
          <w:b w:val="false"/>
          <w:color w:val="000000"/>
          <w:sz w:val="24"/>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provided, that, unless a prospectus supplement containing such information is required to be filed under the Securities Act, the requirements of this Section  7(k) may be satisfied by the Company’s inclusion in an Annual Report on Form 10-K or a Quarterly Report on Form 10-Q, as applicable, of the number or amount of Placement Shares sold through the Agent and the net proceeds to the Company with respect to such Placement Shares during the relevant period.</w:t>
      </w:r>
    </w:p>
    <w:p>
      <w:pPr>
        <w:pStyle w:val="TextBody"/>
        <w:bidi w:val="0"/>
        <w:ind w:left="0" w:right="0" w:firstLine="144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erif" w:hAnsi="Times New Roman;serif"/>
          <w:b w:val="false"/>
          <w:color w:val="000000"/>
          <w:sz w:val="24"/>
          <w:u w:val="single"/>
        </w:rPr>
        <w:t>(l)    Representation Dates; Certificate</w:t>
      </w:r>
      <w:r>
        <w:rPr>
          <w:rFonts w:ascii="Times New Roman;serif" w:hAnsi="Times New Roman;serif"/>
          <w:b w:val="false"/>
          <w:color w:val="000000"/>
          <w:sz w:val="24"/>
        </w:rPr>
        <w:t>. (1) Prior to the date of the first Placement Notice and (2) each time the Company:</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pStyle w:val="TextBody"/>
        <w:bidi w:val="0"/>
        <w:spacing w:before="0" w:after="0"/>
        <w:ind w:left="0" w:right="0" w:firstLine="216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files an Annual Report on Form 10-K under the Exchange Act (including any Form 10-K/A containing amended financial information or a material amendment to the previously filed Form 10-K);</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    files its Quarterly Reports on Form 10-Q under the Exchange Act;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or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(iv)    files a Current Report on Form 8-K containing (x)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or (y) disclosing any material transaction requiring the filing of historical or pro forma financial statements under Item 9.01 of Form 8-K and subject to the guidance set forth in Section 2050.3 of the Financial Reporting Manual of the Commission under the Exchange Act (each date of filing of one or more of the documents referred to in clauses (i) through (iv) shall be a “</w:t>
      </w:r>
      <w:r>
        <w:rPr>
          <w:rFonts w:ascii="Times New Roman;serif" w:hAnsi="Times New Roman;serif"/>
          <w:b/>
          <w:color w:val="000000"/>
          <w:sz w:val="24"/>
          <w:u w:val="single"/>
        </w:rPr>
        <w:t>Representation Date</w:t>
      </w:r>
      <w:r>
        <w:rPr>
          <w:color w:val="000000"/>
        </w:rPr>
        <w:t>”</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(v)    the Company shall furnish the Agent (but in the case of clause (iv) above only if the Agent reasonably determines that the information contained in such Form 8</w:t>
        <w:noBreakHyphen/>
        <w:t xml:space="preserve">K is material at a time when a Placement Notice is outstanding and the Agent requests a certificate), in which case the date on which the Agent so requests such certificate shall be deemed to be the Representation Date for purposes of clause (iv)) with a certificate dated the Representation Date, in the form attached hereto as </w:t>
      </w:r>
      <w:r>
        <w:rPr>
          <w:rFonts w:ascii="Times New Roman;serif" w:hAnsi="Times New Roman;serif"/>
          <w:b w:val="false"/>
          <w:color w:val="000000"/>
          <w:sz w:val="24"/>
          <w:u w:val="single"/>
        </w:rPr>
        <w:t>Exhibit 7(l)</w:t>
      </w:r>
      <w:r>
        <w:rPr>
          <w:rFonts w:ascii="Times New Roman;serif" w:hAnsi="Times New Roman;serif"/>
          <w:b w:val="false"/>
          <w:color w:val="000000"/>
          <w:sz w:val="24"/>
        </w:rPr>
        <w:t xml:space="preserve">, modified, as necessary, to relate to the Registration Statement and the Prospectus as amended or supplemented. The requirement to provide a certificate under this </w:t>
      </w:r>
      <w:r>
        <w:rPr>
          <w:rFonts w:ascii="Times New Roman;serif" w:hAnsi="Times New Roman;serif"/>
          <w:b w:val="false"/>
          <w:color w:val="000000"/>
          <w:sz w:val="24"/>
          <w:u w:val="single"/>
        </w:rPr>
        <w:t>Section 7(l)</w:t>
      </w:r>
      <w:r>
        <w:rPr>
          <w:color w:val="000000"/>
        </w:rPr>
        <w:t xml:space="preserve"> </w:t>
      </w:r>
      <w:r>
        <w:rPr>
          <w:rFonts w:ascii="Times New Roman;serif" w:hAnsi="Times New Roman;serif"/>
          <w:b w:val="false"/>
          <w:color w:val="000000"/>
          <w:sz w:val="24"/>
        </w:rPr>
        <w:t xml:space="preserve">shall be automatically waived for any Representation Date occurring at a time when no Placement Notice is outstanding or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 with a certificate under this </w:t>
      </w:r>
      <w:r>
        <w:rPr>
          <w:rFonts w:ascii="Times New Roman;serif" w:hAnsi="Times New Roman;serif"/>
          <w:b w:val="false"/>
          <w:color w:val="000000"/>
          <w:sz w:val="24"/>
          <w:u w:val="single"/>
        </w:rPr>
        <w:t>Section 7(l)</w:t>
      </w:r>
      <w:r>
        <w:rPr>
          <w:rFonts w:ascii="Times New Roman;serif" w:hAnsi="Times New Roman;serif"/>
          <w:b w:val="false"/>
          <w:color w:val="000000"/>
          <w:sz w:val="24"/>
        </w:rPr>
        <w:t xml:space="preserve">, then before the Company delivers the instructions for the sale of Placement Shares or the Agent sells any Placement Shares pursuant to such instructions, the Company shall provide the Agent with a certificate in the form attached hereto as </w:t>
      </w:r>
      <w:r>
        <w:rPr>
          <w:rFonts w:ascii="Times New Roman;serif" w:hAnsi="Times New Roman;serif"/>
          <w:b w:val="false"/>
          <w:color w:val="000000"/>
          <w:sz w:val="24"/>
          <w:u w:val="single"/>
        </w:rPr>
        <w:t>Exhibit 7(l)</w:t>
      </w:r>
      <w:r>
        <w:rPr>
          <w:color w:val="000000"/>
        </w:rPr>
        <w:t xml:space="preserve"> </w:t>
      </w:r>
      <w:r>
        <w:rPr>
          <w:rFonts w:ascii="Times New Roman;serif" w:hAnsi="Times New Roman;serif"/>
          <w:b w:val="false"/>
          <w:color w:val="000000"/>
          <w:sz w:val="24"/>
        </w:rPr>
        <w:t xml:space="preserve">dated as of the date that the instructions for the sale of Placement Shares are issued. </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Legal Opinion</w:t>
      </w:r>
      <w:r>
        <w:rPr>
          <w:rFonts w:ascii="Times New Roman;serif" w:hAnsi="Times New Roman;serif"/>
          <w:b w:val="false"/>
          <w:color w:val="000000"/>
          <w:sz w:val="24"/>
        </w:rPr>
        <w:t xml:space="preserve">. (1) Prior to the date of the first Placement Notice and (2) on each Representation Date with respect to which the Company is obligated to deliver a certificate pursuant to </w:t>
      </w:r>
      <w:r>
        <w:rPr>
          <w:rFonts w:ascii="Times New Roman;serif" w:hAnsi="Times New Roman;serif"/>
          <w:b w:val="false"/>
          <w:color w:val="000000"/>
          <w:sz w:val="24"/>
          <w:u w:val="single"/>
        </w:rPr>
        <w:t>Section 7(l)</w:t>
      </w:r>
      <w:r>
        <w:rPr>
          <w:color w:val="000000"/>
        </w:rPr>
        <w:t xml:space="preserve"> </w:t>
      </w:r>
      <w:r>
        <w:rPr>
          <w:rFonts w:ascii="Times New Roman;serif" w:hAnsi="Times New Roman;serif"/>
          <w:b w:val="false"/>
          <w:color w:val="000000"/>
          <w:sz w:val="24"/>
        </w:rPr>
        <w:t xml:space="preserve">for which no waiver is applicable and excluding the date of this Agreement, the Company shall cause to be furnished to the Agent (i) a written opinion and negative assurance letter of O’Melveny &amp; Myers LLP (“Company Counsel”), counsel the Company, and (ii) a written opinion of Vista IP Law Group LLP, special intellectual property counsel to the Company, or other counsel satisfactory to the Agent ("IP Counsel") in form and substance satisfactory to the Agent and its </w:t>
      </w: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counsel, substantially similar to the form previously provided to the Agent and its counsel, modified, as necessary, to relate to the Registration Statement and the Prospectus as then amended or supplemented;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lieu of such opinions for subsequent periodic filings under the Exchange Act, each of Corporate Counsel and IP Counsel may furnish the Agent with a letter (a “</w:t>
      </w:r>
      <w:r>
        <w:rPr>
          <w:rFonts w:ascii="Times New Roman;serif" w:hAnsi="Times New Roman;serif"/>
          <w:b/>
          <w:color w:val="000000"/>
          <w:sz w:val="24"/>
          <w:u w:val="single"/>
        </w:rPr>
        <w:t>Reliance Letter</w:t>
      </w:r>
      <w:r>
        <w:rPr>
          <w:color w:val="000000"/>
        </w:rPr>
        <w:t>”</w:t>
      </w:r>
      <w:r>
        <w:rPr>
          <w:rFonts w:ascii="Times New Roman;serif" w:hAnsi="Times New Roman;serif"/>
          <w:b w:val="false"/>
          <w:color w:val="000000"/>
          <w:sz w:val="24"/>
        </w:rPr>
        <w:t xml:space="preserve">) to the effect that the Agent may rely on a prior opinion delivered under this </w:t>
      </w:r>
      <w:r>
        <w:rPr>
          <w:rFonts w:ascii="Times New Roman;serif" w:hAnsi="Times New Roman;serif"/>
          <w:b w:val="false"/>
          <w:color w:val="000000"/>
          <w:sz w:val="24"/>
          <w:u w:val="single"/>
        </w:rPr>
        <w:t>Section 7(m)</w:t>
      </w:r>
      <w:r>
        <w:rPr>
          <w:color w:val="000000"/>
        </w:rPr>
        <w:t xml:space="preserve"> </w:t>
      </w:r>
      <w:r>
        <w:rPr>
          <w:rFonts w:ascii="Times New Roman;serif" w:hAnsi="Times New Roman;serif"/>
          <w:b w:val="false"/>
          <w:color w:val="000000"/>
          <w:sz w:val="24"/>
        </w:rPr>
        <w:t>to the same extent as if it were dated the date of such letter (except that statements in such prior opinion shall be deemed to relate to the Registration Statement and the Prospectus as amended or supplemented as of the date of the Reliance Letter).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Comfort Letter</w:t>
      </w:r>
      <w:r>
        <w:rPr>
          <w:rFonts w:ascii="Times New Roman;serif" w:hAnsi="Times New Roman;serif"/>
          <w:b w:val="false"/>
          <w:color w:val="000000"/>
          <w:sz w:val="24"/>
        </w:rPr>
        <w:t xml:space="preserve">. (1) Prior to the date of the first Placement Notice and (2) on each Representation Date with respect to which the Company is obligated to deliver a certificate pursuant to </w:t>
      </w:r>
      <w:r>
        <w:rPr>
          <w:rFonts w:ascii="Times New Roman;serif" w:hAnsi="Times New Roman;serif"/>
          <w:b w:val="false"/>
          <w:color w:val="000000"/>
          <w:sz w:val="24"/>
          <w:u w:val="single"/>
        </w:rPr>
        <w:t>Section 7(l)</w:t>
      </w:r>
      <w:r>
        <w:rPr>
          <w:color w:val="000000"/>
        </w:rPr>
        <w:t xml:space="preserve"> </w:t>
      </w:r>
      <w:r>
        <w:rPr>
          <w:rFonts w:ascii="Times New Roman;serif" w:hAnsi="Times New Roman;serif"/>
          <w:b w:val="false"/>
          <w:color w:val="000000"/>
          <w:sz w:val="24"/>
        </w:rPr>
        <w:t>for which no waiver is applicable and excluding the date of this Agreement, the Company shall cause its independent registered public accounting firm (and any other independent accountants whose report is included in the Registration Statement or the Prospectus) to furnish the Agent letters (the “</w:t>
      </w:r>
      <w:r>
        <w:rPr>
          <w:rFonts w:ascii="Times New Roman;serif" w:hAnsi="Times New Roman;serif"/>
          <w:b/>
          <w:color w:val="000000"/>
          <w:sz w:val="24"/>
          <w:u w:val="single"/>
        </w:rPr>
        <w:t>Comfort Letters</w:t>
      </w:r>
      <w:r>
        <w:rPr>
          <w:color w:val="000000"/>
        </w:rPr>
        <w:t>”</w:t>
      </w:r>
      <w:r>
        <w:rPr>
          <w:rFonts w:ascii="Times New Roman;serif" w:hAnsi="Times New Roman;serif"/>
          <w:b w:val="false"/>
          <w:color w:val="000000"/>
          <w:sz w:val="24"/>
        </w:rPr>
        <w:t xml:space="preserve">), dated the date the Comfort Letter is delivered, which shall meet the requirements set forth in this </w:t>
      </w:r>
      <w:r>
        <w:rPr>
          <w:rFonts w:ascii="Times New Roman;serif" w:hAnsi="Times New Roman;serif"/>
          <w:b w:val="false"/>
          <w:color w:val="000000"/>
          <w:sz w:val="24"/>
          <w:u w:val="single"/>
        </w:rPr>
        <w:t>Section 7(n)</w:t>
      </w:r>
      <w:r>
        <w:rPr>
          <w:rFonts w:ascii="Times New Roman;serif" w:hAnsi="Times New Roman;serif"/>
          <w:b w:val="false"/>
          <w:color w:val="000000"/>
          <w:sz w:val="24"/>
        </w:rPr>
        <w:t>.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The Comfort Letter from the Company’s independent registered public accounting firm shall be in a form and substance satisfactory to the Agent, (i) confirming that they are an independent registered public accounting firm within the meaning of the Securities Act and the Public Company Accounting Oversight Board (“</w:t>
      </w:r>
      <w:r>
        <w:rPr>
          <w:rFonts w:ascii="Times New Roman;serif" w:hAnsi="Times New Roman;serif"/>
          <w:b/>
          <w:color w:val="000000"/>
          <w:sz w:val="24"/>
          <w:u w:val="single"/>
        </w:rPr>
        <w:t>PCAOB</w:t>
      </w:r>
      <w:r>
        <w:rPr>
          <w:color w:val="000000"/>
        </w:rPr>
        <w:t>”</w:t>
      </w:r>
      <w:r>
        <w:rPr>
          <w:rFonts w:ascii="Times New Roman;serif" w:hAnsi="Times New Roman;serif"/>
          <w:b w:val="false"/>
          <w:color w:val="000000"/>
          <w:sz w:val="24"/>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serif" w:hAnsi="Times New Roman;serif"/>
          <w:b/>
          <w:color w:val="000000"/>
          <w:sz w:val="24"/>
          <w:u w:val="single"/>
        </w:rPr>
        <w:t>Initial Comfort Letter</w:t>
      </w:r>
      <w:r>
        <w:rPr>
          <w:color w:val="000000"/>
        </w:rPr>
        <w:t>”</w:t>
      </w:r>
      <w:r>
        <w:rPr>
          <w:rFonts w:ascii="Times New Roman;serif" w:hAnsi="Times New Roman;serif"/>
          <w:b w:val="false"/>
          <w:color w:val="000000"/>
          <w:sz w:val="24"/>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Market Activities; Compliance with Regulation M</w:t>
      </w:r>
      <w:r>
        <w:rPr>
          <w:rFonts w:ascii="Times New Roman;serif" w:hAnsi="Times New Roman;serif"/>
          <w:b w:val="false"/>
          <w:color w:val="000000"/>
          <w:sz w:val="24"/>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The Company will conduct its affairs in such a manner so as to reasonably ensure that neither it nor any of its Subsidiaries (if any) will be or become, at any time prior to the termination of this Agreement, required to register as an “investment company,” as such term is defined in the Investment Company Act.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Securities Act and Exchange Act Compliance</w:t>
      </w:r>
      <w:r>
        <w:rPr>
          <w:rFonts w:ascii="Times New Roman;serif" w:hAnsi="Times New Roman;serif"/>
          <w:b w:val="false"/>
          <w:color w:val="000000"/>
          <w:sz w:val="24"/>
        </w:rPr>
        <w:t xml:space="preserve">.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 </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No Offer to Sell</w:t>
      </w:r>
      <w:r>
        <w:rPr>
          <w:rFonts w:ascii="Times New Roman;serif" w:hAnsi="Times New Roman;serif"/>
          <w:b w:val="false"/>
          <w:color w:val="000000"/>
          <w:sz w:val="24"/>
        </w:rPr>
        <w:t xml:space="preserve">.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w:t>
      </w: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under the Securities Act), required to be filed with the Commission, that constitutes an offer to sell or solicitation of an offer to buy Placement Shares hereunder.</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Blue Sky and Other Qualifications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reasonably designate and to maintain such qualifications and exemptions in effect for so long as reasonably required for the distribution of the Placement Shares (but in no event for less than one year from the date of this Agreement);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reasonably required for the distribution of the Placement Shares (but in no event for less than one year from the date of this Agreement).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Sarbanes-Oxley Act</w:t>
      </w:r>
      <w:r>
        <w:rPr>
          <w:rFonts w:ascii="Times New Roman;serif" w:hAnsi="Times New Roman;serif"/>
          <w:b w:val="false"/>
          <w:color w:val="000000"/>
          <w:sz w:val="24"/>
        </w:rPr>
        <w:t>. The Company and its Subsidiaries (if any)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its Subsidiaries (if 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its Subsidiaries (if any) is made known to them by others within those entities, particularly during the period in which such periodic reports are being prepared.</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Secretary’s Certificate; Further Documentation</w:t>
      </w:r>
      <w:r>
        <w:rPr>
          <w:rFonts w:ascii="Times New Roman;serif" w:hAnsi="Times New Roman;serif"/>
          <w:b w:val="false"/>
          <w:color w:val="000000"/>
          <w:sz w:val="24"/>
        </w:rPr>
        <w:t xml:space="preserve">. Prior to the date of the first Placement Notice, the Company shall deliver to the Agent a certificate of the Secretary of the Company and attested to by an executive officer of the Company, dated as of such date, certifying as to (i) the Amended and Restated Certificate of Incorporation of the Company, (ii) the Amended and Restated Bylaws of the Company, (iii) the resolutions of the Board of Directors of the Company and any other authorized committee authorizing the execution, delivery and performance of this Agreement and the issuance of the Placement Shares and (iv) the incumbency of the officers duly authorized to execute this Agreement and the other documents contemplated by this Agreement. </w:t>
      </w: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Within five (5) Trading Days of each Representation Date, the Company shall have furnished to the Agent such further information, certificates and documents as the Agent may reasonably request.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Emerging Growth Company Status</w:t>
      </w:r>
      <w:r>
        <w:rPr>
          <w:rFonts w:ascii="Times New Roman;serif" w:hAnsi="Times New Roman;serif"/>
          <w:b w:val="false"/>
          <w:color w:val="000000"/>
          <w:sz w:val="24"/>
        </w:rPr>
        <w:t>. The Company will promptly notify the Agent if the Company ceases to be an Emerging Growth Company prior to December 31, 2026.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Payment of Expenses</w:t>
      </w:r>
      <w:r>
        <w:rPr>
          <w:rFonts w:ascii="Times New Roman;serif" w:hAnsi="Times New Roman;serif"/>
          <w:b w:val="false"/>
          <w:color w:val="000000"/>
          <w:sz w:val="24"/>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 shall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reasonable and documented fees and expenses of Agent including but not limited to the reasonable and documented fees and expenses of the counsel to the Agent, (a) in an amount not to exceed $75,000 in connection with the execution of this Agreement, (b) in an amount not to exceed $15,000 per calendar quarter thereafter payable in connection with each Representation Date with respect to which the Company is obligated to deliver a certificate pursuant to </w:t>
      </w:r>
      <w:r>
        <w:rPr>
          <w:rFonts w:ascii="Times New Roman;serif" w:hAnsi="Times New Roman;serif"/>
          <w:b w:val="false"/>
          <w:color w:val="000000"/>
          <w:sz w:val="24"/>
          <w:u w:val="single"/>
        </w:rPr>
        <w:t>Section 7(l)</w:t>
      </w:r>
      <w:r>
        <w:rPr>
          <w:color w:val="000000"/>
        </w:rPr>
        <w:t xml:space="preserve"> </w:t>
      </w:r>
      <w:r>
        <w:rPr>
          <w:rFonts w:ascii="Times New Roman;serif" w:hAnsi="Times New Roman;serif"/>
          <w:b w:val="false"/>
          <w:color w:val="000000"/>
          <w:sz w:val="24"/>
        </w:rPr>
        <w:t xml:space="preserve">for which no waiver is applicable and excluding the date of this Agreement, and (c) in an amount not to exceed $40,000 for 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serif" w:hAnsi="Times New Roman;serif"/>
          <w:b w:val="false"/>
          <w:color w:val="000000"/>
          <w:sz w:val="24"/>
          <w:u w:val="single"/>
        </w:rPr>
        <w:t>Section 7(r)</w:t>
      </w:r>
      <w:r>
        <w:rPr>
          <w:color w:val="000000"/>
        </w:rPr>
        <w:t xml:space="preserve"> </w:t>
      </w:r>
      <w:r>
        <w:rPr>
          <w:rFonts w:ascii="Times New Roman;serif" w:hAnsi="Times New Roman;serif"/>
          <w:b w:val="false"/>
          <w:color w:val="000000"/>
          <w:sz w:val="24"/>
        </w:rPr>
        <w:t>hereof, including filing fees, but excluding fees of the Agent’s counsel, (vii) the printing and delivery to the Agent of copies of any Permitted Issuer Free Writing Prospectus and the Prospectus and any amendments or supplements thereto in such number as the Agent shall deem necessary, (viii) the preparation, printing and delivery to the Agent of copies of the blue sky survey, (ix) the fees and expenses of the transfer agent and registrar for the Common Stock, (x) the filing and other fees incident to any review by FINRA of the terms of the sale of the Placement Shares including the reasonable and documented fees of the Agent’s counsel (subject to the cap, set forth in clause (v) above), and (xi) the fees and expenses incurred in connection with the listing of the Placement Shares on the Exchange. The Company agrees to pay the reasonable and documented fees and expenses of counsel to the Agent set forth in clause (v) above by wire transfer of immediately available funds directly to such counsel upon presentation of an invoice containing the requisite payment information prepared by such counsel.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Conditions to Agent’s Obligations</w:t>
      </w:r>
      <w:r>
        <w:rPr>
          <w:rFonts w:ascii="Times New Roman;serif" w:hAnsi="Times New Roman;serif"/>
          <w:b w:val="false"/>
          <w:color w:val="000000"/>
          <w:sz w:val="24"/>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Registration Statement Effective</w:t>
      </w:r>
      <w:r>
        <w:rPr>
          <w:rFonts w:ascii="Times New Roman;serif" w:hAnsi="Times New Roman;serif"/>
          <w:b w:val="false"/>
          <w:color w:val="000000"/>
          <w:sz w:val="24"/>
        </w:rPr>
        <w:t>. The Registration Statement shall be effective and shall be available for the (i) resale of all Placement Shares issued to the Agent and not yet sold by the Agent and (ii) sale of all Placement Shares contemplated to be issued by any Placement Notice.</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 Material Notices</w:t>
      </w:r>
      <w:r>
        <w:rPr>
          <w:rFonts w:ascii="Times New Roman;serif" w:hAnsi="Times New Roman;serif"/>
          <w:b w:val="false"/>
          <w:color w:val="000000"/>
          <w:sz w:val="24"/>
        </w:rPr>
        <w:t xml:space="preserve">. None of the following events shall have occurred and be continuing: (i) receipt by the Company of any request for additional information from the Commission </w:t>
      </w: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 Misstatement or Material Omission</w:t>
      </w:r>
      <w:r>
        <w:rPr>
          <w:rFonts w:ascii="Times New Roman;serif" w:hAnsi="Times New Roman;serif"/>
          <w:b w:val="false"/>
          <w:color w:val="000000"/>
          <w:sz w:val="24"/>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Material Changes</w:t>
      </w:r>
      <w:r>
        <w:rPr>
          <w:rFonts w:ascii="Times New Roman;serif" w:hAnsi="Times New Roman;serif"/>
          <w:b w:val="false"/>
          <w:color w:val="000000"/>
          <w:sz w:val="24"/>
        </w:rPr>
        <w:t>.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Legal Opinions</w:t>
      </w:r>
      <w:r>
        <w:rPr>
          <w:rFonts w:ascii="Times New Roman;serif" w:hAnsi="Times New Roman;serif"/>
          <w:b w:val="false"/>
          <w:color w:val="000000"/>
          <w:sz w:val="24"/>
        </w:rPr>
        <w:t xml:space="preserve">. The Agent shall have received the opinions and negative assurance letters required to be delivered pursuant to </w:t>
      </w:r>
      <w:r>
        <w:rPr>
          <w:rFonts w:ascii="Times New Roman;serif" w:hAnsi="Times New Roman;serif"/>
          <w:b w:val="false"/>
          <w:color w:val="000000"/>
          <w:sz w:val="24"/>
          <w:u w:val="single"/>
        </w:rPr>
        <w:t>Section 7(m)</w:t>
      </w:r>
      <w:r>
        <w:rPr>
          <w:color w:val="000000"/>
        </w:rPr>
        <w:t xml:space="preserve"> </w:t>
      </w:r>
      <w:r>
        <w:rPr>
          <w:rFonts w:ascii="Times New Roman;serif" w:hAnsi="Times New Roman;serif"/>
          <w:b w:val="false"/>
          <w:color w:val="000000"/>
          <w:sz w:val="24"/>
        </w:rPr>
        <w:t xml:space="preserve">on or before the date on which such delivery of such opinions is required pursuant to </w:t>
      </w:r>
      <w:r>
        <w:rPr>
          <w:rFonts w:ascii="Times New Roman;serif" w:hAnsi="Times New Roman;serif"/>
          <w:b w:val="false"/>
          <w:color w:val="000000"/>
          <w:sz w:val="24"/>
          <w:u w:val="single"/>
        </w:rPr>
        <w:t>Section 7(m)</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Comfort Letter</w:t>
      </w:r>
      <w:r>
        <w:rPr>
          <w:rFonts w:ascii="Times New Roman;serif" w:hAnsi="Times New Roman;serif"/>
          <w:b w:val="false"/>
          <w:color w:val="000000"/>
          <w:sz w:val="24"/>
        </w:rPr>
        <w:t xml:space="preserve">. The Agent shall have received the Comfort Letter required to be delivered pursuant to </w:t>
      </w:r>
      <w:r>
        <w:rPr>
          <w:rFonts w:ascii="Times New Roman;serif" w:hAnsi="Times New Roman;serif"/>
          <w:b w:val="false"/>
          <w:color w:val="000000"/>
          <w:sz w:val="24"/>
          <w:u w:val="single"/>
        </w:rPr>
        <w:t>Section 7(n)</w:t>
      </w:r>
      <w:r>
        <w:rPr>
          <w:color w:val="000000"/>
        </w:rPr>
        <w:t xml:space="preserve"> </w:t>
      </w:r>
      <w:r>
        <w:rPr>
          <w:rFonts w:ascii="Times New Roman;serif" w:hAnsi="Times New Roman;serif"/>
          <w:b w:val="false"/>
          <w:color w:val="000000"/>
          <w:sz w:val="24"/>
        </w:rPr>
        <w:t xml:space="preserve">on or before the date on which such delivery of such Comfort Letter is required pursuant to </w:t>
      </w:r>
      <w:r>
        <w:rPr>
          <w:rFonts w:ascii="Times New Roman;serif" w:hAnsi="Times New Roman;serif"/>
          <w:b w:val="false"/>
          <w:color w:val="000000"/>
          <w:sz w:val="24"/>
          <w:u w:val="single"/>
        </w:rPr>
        <w:t>Section 7(n)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Representation Certificate</w:t>
      </w:r>
      <w:r>
        <w:rPr>
          <w:rFonts w:ascii="Times New Roman;serif" w:hAnsi="Times New Roman;serif"/>
          <w:b w:val="false"/>
          <w:color w:val="000000"/>
          <w:sz w:val="24"/>
        </w:rPr>
        <w:t xml:space="preserve">. The Agent shall have received the certificate required to be delivered pursuant to </w:t>
      </w:r>
      <w:r>
        <w:rPr>
          <w:rFonts w:ascii="Times New Roman;serif" w:hAnsi="Times New Roman;serif"/>
          <w:b w:val="false"/>
          <w:color w:val="000000"/>
          <w:sz w:val="24"/>
          <w:u w:val="single"/>
        </w:rPr>
        <w:t>Section 7(l)</w:t>
      </w:r>
      <w:r>
        <w:rPr>
          <w:color w:val="000000"/>
        </w:rPr>
        <w:t xml:space="preserve"> </w:t>
      </w:r>
      <w:r>
        <w:rPr>
          <w:rFonts w:ascii="Times New Roman;serif" w:hAnsi="Times New Roman;serif"/>
          <w:b w:val="false"/>
          <w:color w:val="000000"/>
          <w:sz w:val="24"/>
        </w:rPr>
        <w:t xml:space="preserve">on or before the date on which delivery of such certificate is required pursuant to </w:t>
      </w:r>
      <w:r>
        <w:rPr>
          <w:rFonts w:ascii="Times New Roman;serif" w:hAnsi="Times New Roman;serif"/>
          <w:b w:val="false"/>
          <w:color w:val="000000"/>
          <w:sz w:val="24"/>
          <w:u w:val="single"/>
        </w:rPr>
        <w:t>Section 7(l)</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Secretary’s Certificate</w:t>
      </w:r>
      <w:r>
        <w:rPr>
          <w:rFonts w:ascii="Times New Roman;serif" w:hAnsi="Times New Roman;serif"/>
          <w:b w:val="false"/>
          <w:color w:val="000000"/>
          <w:sz w:val="24"/>
        </w:rPr>
        <w:t xml:space="preserve">. Prior to the date of the first Placement Notice, the Agent shall have received the certificate required to be delivered pursuant to </w:t>
      </w:r>
      <w:r>
        <w:rPr>
          <w:rFonts w:ascii="Times New Roman;serif" w:hAnsi="Times New Roman;serif"/>
          <w:b w:val="false"/>
          <w:color w:val="000000"/>
          <w:sz w:val="24"/>
          <w:u w:val="single"/>
        </w:rPr>
        <w:t>Section 7(u)</w:t>
      </w:r>
      <w:r>
        <w:rPr>
          <w:color w:val="000000"/>
        </w:rPr>
        <w:t xml:space="preserve"> </w:t>
      </w:r>
      <w:r>
        <w:rPr>
          <w:rFonts w:ascii="Times New Roman;serif" w:hAnsi="Times New Roman;serif"/>
          <w:b w:val="false"/>
          <w:color w:val="000000"/>
          <w:sz w:val="24"/>
        </w:rPr>
        <w:t xml:space="preserve">on or before the date on which delivery of such certificate is required pursuant to </w:t>
      </w:r>
      <w:r>
        <w:rPr>
          <w:rFonts w:ascii="Times New Roman;serif" w:hAnsi="Times New Roman;serif"/>
          <w:b w:val="false"/>
          <w:color w:val="000000"/>
          <w:sz w:val="24"/>
          <w:u w:val="single"/>
        </w:rPr>
        <w:t>Section 7(u)</w:t>
      </w:r>
      <w:r>
        <w:rPr>
          <w:rFonts w:ascii="Times New Roman;serif" w:hAnsi="Times New Roman;serif"/>
          <w:b w:val="false"/>
          <w:color w:val="000000"/>
          <w:sz w:val="24"/>
        </w:rPr>
        <w:t>.</w:t>
      </w:r>
    </w:p>
    <w:p>
      <w:pPr>
        <w:pStyle w:val="TextBody"/>
        <w:bidi w:val="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 Suspension</w:t>
      </w:r>
      <w:r>
        <w:rPr>
          <w:rFonts w:ascii="Times New Roman;serif" w:hAnsi="Times New Roman;serif"/>
          <w:b w:val="false"/>
          <w:color w:val="000000"/>
          <w:sz w:val="24"/>
        </w:rPr>
        <w:t>. Trading in the Common Stock shall not have been suspended on the Exchange and the Common Stock shall not have been delisted from the Exchange.</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Other Materials</w:t>
      </w:r>
      <w:r>
        <w:rPr>
          <w:rFonts w:ascii="Times New Roman;serif" w:hAnsi="Times New Roman;serif"/>
          <w:b w:val="false"/>
          <w:color w:val="000000"/>
          <w:sz w:val="24"/>
        </w:rPr>
        <w:t xml:space="preserve">. On each date on which the Company is required to deliver a certificate pursuant to </w:t>
      </w:r>
      <w:r>
        <w:rPr>
          <w:rFonts w:ascii="Times New Roman;serif" w:hAnsi="Times New Roman;serif"/>
          <w:b w:val="false"/>
          <w:color w:val="000000"/>
          <w:sz w:val="24"/>
          <w:u w:val="single"/>
        </w:rPr>
        <w:t>Section 7(l)</w:t>
      </w:r>
      <w:r>
        <w:rPr>
          <w:rFonts w:ascii="Times New Roman;serif" w:hAnsi="Times New Roman;serif"/>
          <w:b w:val="false"/>
          <w:color w:val="000000"/>
          <w:sz w:val="24"/>
        </w:rPr>
        <w:t>, the Company shall have furnished to the Agent such appropriate further information, opinions, certificates, letters and other documents as the Agent may reasonably request. All such opinions, certificates, letters and other documents will be in compliance with the provisions hereof.</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Securities Act Filings Made</w:t>
      </w:r>
      <w:r>
        <w:rPr>
          <w:rFonts w:ascii="Times New Roman;serif" w:hAnsi="Times New Roman;serif"/>
          <w:b w:val="false"/>
          <w:color w:val="000000"/>
          <w:sz w:val="24"/>
        </w:rPr>
        <w:t>. All filings with the Commission required by Rule 424 or Rule 433 under the Securities Act to have been filed prior to the issuance of any Placement Notice hereunder shall have been made within the applicable time period prescribed for such filing by Rule 424 or Rule 433, as applicable.</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Approval for Listing</w:t>
      </w:r>
      <w:r>
        <w:rPr>
          <w:rFonts w:ascii="Times New Roman;serif" w:hAnsi="Times New Roman;serif"/>
          <w:b w:val="false"/>
          <w:color w:val="000000"/>
          <w:sz w:val="24"/>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FINRA</w:t>
      </w:r>
      <w:r>
        <w:rPr>
          <w:rFonts w:ascii="Times New Roman;serif" w:hAnsi="Times New Roman;serif"/>
          <w:b w:val="false"/>
          <w:color w:val="000000"/>
          <w:sz w:val="24"/>
        </w:rPr>
        <w:t xml:space="preserve">. If applicable, FINRA shall have raised no objection to the terms of this offering and the amount of compensation allowable or payable to the Agent as described in the Prospectus. </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No Termination Event</w:t>
      </w:r>
      <w:r>
        <w:rPr>
          <w:rFonts w:ascii="Times New Roman;serif" w:hAnsi="Times New Roman;serif"/>
          <w:b w:val="false"/>
          <w:color w:val="000000"/>
          <w:sz w:val="24"/>
        </w:rPr>
        <w:t xml:space="preserve">. There shall not have occurred any event that would permit the Agent to terminate this Agreement pursuant to </w:t>
      </w:r>
      <w:r>
        <w:rPr>
          <w:rFonts w:ascii="Times New Roman;serif" w:hAnsi="Times New Roman;serif"/>
          <w:b w:val="false"/>
          <w:color w:val="000000"/>
          <w:sz w:val="24"/>
          <w:u w:val="single"/>
        </w:rPr>
        <w:t>Section 12(a)</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Indemnification and Contribution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Company Indemnification</w:t>
      </w:r>
      <w:r>
        <w:rPr>
          <w:rFonts w:ascii="Times New Roman;serif" w:hAnsi="Times New Roman;serif"/>
          <w:b w:val="false"/>
          <w:color w:val="000000"/>
          <w:sz w:val="24"/>
        </w:rPr>
        <w:t xml:space="preserve">. The Company agrees to indemnify and hold harmless the Agent, its affiliates and their respective partners, members, directors, officers, employees and agents and each person, if any, who (i) controls the Agent or any affiliate within the meaning of Section 15 of the Securities Act or Section 20 of the Exchange Act, (ii) is controlled by or is under common control with the Agent, or (iii) may become subject to liability under the Securities Act, the Exchange Act or other federal or state statutory law or regulation, at common law or otherwise, in each case as follows: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the omission or alleged omission therefrom of a material fact necessary in order to make the statements therein, in the light of the circumstances under which they were made, not misleading or any breach by the Company of any of its respective representations, warranties or agreements contained in this Agreement;</w:t>
      </w:r>
    </w:p>
    <w:p>
      <w:pPr>
        <w:pStyle w:val="TextBody"/>
        <w:bidi w:val="0"/>
        <w:spacing w:before="0" w:after="0"/>
        <w:ind w:left="0" w:right="0" w:firstLine="1440"/>
        <w:jc w:val="both"/>
        <w:rPr/>
      </w:pPr>
      <w:r>
        <w:rPr/>
      </w:r>
    </w:p>
    <w:p>
      <w:pPr>
        <w:pStyle w:val="TextBody"/>
        <w:bidi w:val="0"/>
        <w:spacing w:lineRule="auto" w:line="268"/>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against any and all loss, liability, claim, damage and expense,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w:t>
      </w:r>
    </w:p>
    <w:p>
      <w:pPr>
        <w:pStyle w:val="TextBody"/>
        <w:bidi w:val="0"/>
        <w:spacing w:before="0" w:after="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statement or omission;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(subject to </w:t>
      </w:r>
      <w:r>
        <w:rPr>
          <w:rFonts w:ascii="Times New Roman;serif" w:hAnsi="Times New Roman;serif"/>
          <w:b w:val="false"/>
          <w:color w:val="000000"/>
          <w:sz w:val="24"/>
          <w:u w:val="single"/>
        </w:rPr>
        <w:t>Section 10(d)</w:t>
      </w:r>
      <w:r>
        <w:rPr>
          <w:color w:val="000000"/>
        </w:rPr>
        <w:t xml:space="preserve"> </w:t>
      </w:r>
      <w:r>
        <w:rPr>
          <w:rFonts w:ascii="Times New Roman;serif" w:hAnsi="Times New Roman;serif"/>
          <w:b w:val="false"/>
          <w:color w:val="000000"/>
          <w:sz w:val="24"/>
        </w:rPr>
        <w:t>below) any such settlement is effected with the written consent of the Company, which consent shall not unreasonably be delayed or withheld; and</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against any and all reasonable and documented expense, as incurred (including the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this indemnity agreement shall not apply to any loss, liability, claim, damage or expense to the extent arising out of any untrue statement or omission or alleged untrue statement or omission made solely in reliance upon and in conformity with the Agent Information (as defined below). The indemnity agreement set forth in this </w:t>
      </w:r>
      <w:r>
        <w:rPr>
          <w:rFonts w:ascii="Times New Roman;serif" w:hAnsi="Times New Roman;serif"/>
          <w:b w:val="false"/>
          <w:color w:val="000000"/>
          <w:sz w:val="24"/>
          <w:u w:val="single"/>
        </w:rPr>
        <w:t>Section 10(a)</w:t>
      </w:r>
      <w:r>
        <w:rPr>
          <w:color w:val="000000"/>
        </w:rPr>
        <w:t xml:space="preserve"> </w:t>
      </w:r>
      <w:r>
        <w:rPr>
          <w:rFonts w:ascii="Times New Roman;serif" w:hAnsi="Times New Roman;serif"/>
          <w:b w:val="false"/>
          <w:color w:val="000000"/>
          <w:sz w:val="24"/>
        </w:rPr>
        <w:t>shall be in addition to any liabilities that the Company may otherwise have.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Agent Indemnification</w:t>
      </w:r>
      <w:r>
        <w:rPr>
          <w:rFonts w:ascii="Times New Roman;serif" w:hAnsi="Times New Roman;serif"/>
          <w:b w:val="false"/>
          <w:color w:val="000000"/>
          <w:sz w:val="24"/>
        </w:rPr>
        <w:t xml:space="preserv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serif" w:hAnsi="Times New Roman;serif"/>
          <w:b w:val="false"/>
          <w:color w:val="000000"/>
          <w:sz w:val="24"/>
          <w:u w:val="single"/>
        </w:rPr>
        <w:t>Section 10(a)</w:t>
      </w:r>
      <w:r>
        <w:rPr>
          <w:rFonts w:ascii="Times New Roman;serif" w:hAnsi="Times New Roman;serif"/>
          <w:b w:val="false"/>
          <w:color w:val="000000"/>
          <w:sz w:val="24"/>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or any Issuer Free Writing Prospectus (or any amendment or supplement thereto) are the statements set forth in the ninth and tenth paragraphs under the caption “Plan of Distribution” in the ATM Prospectus (the “</w:t>
      </w:r>
      <w:r>
        <w:rPr>
          <w:rFonts w:ascii="Times New Roman;serif" w:hAnsi="Times New Roman;serif"/>
          <w:b/>
          <w:color w:val="000000"/>
          <w:sz w:val="24"/>
          <w:u w:val="single"/>
        </w:rPr>
        <w:t>Agent Information</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Procedure</w:t>
      </w:r>
      <w:r>
        <w:rPr>
          <w:rFonts w:ascii="Times New Roman;serif" w:hAnsi="Times New Roman;serif"/>
          <w:b w:val="false"/>
          <w:color w:val="000000"/>
          <w:sz w:val="24"/>
        </w:rPr>
        <w:t xml:space="preserve">. Any party that proposes to assert the right to be indemnified under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will, promptly after receipt of notice of commencement of any action against such party in respect of which a claim is to be made against an indemnifying party or parties under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and (ii) any liability that it may have to any indemnified party under the foregoing provision of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w:t>
      </w:r>
    </w:p>
    <w:p>
      <w:pPr>
        <w:pStyle w:val="TextBody"/>
        <w:bidi w:val="0"/>
        <w:spacing w:before="0" w:after="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reasonable and documented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Settlement Without Consent if Failure to Reimburse</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If an indemnified party shall have requested an indemnifying party to reimburse the indemnified party for reasonable and documented fees and expenses of counsel, such indemnifying party agrees that it shall be liable for any settlement of the nature contemplated by </w:t>
      </w:r>
      <w:r>
        <w:rPr>
          <w:rFonts w:ascii="Times New Roman;serif" w:hAnsi="Times New Roman;serif"/>
          <w:b w:val="false"/>
          <w:color w:val="000000"/>
          <w:sz w:val="24"/>
          <w:u w:val="single"/>
        </w:rPr>
        <w:t>Section 10(a)(ii)</w:t>
      </w:r>
      <w:r>
        <w:rPr>
          <w:color w:val="000000"/>
        </w:rPr>
        <w:t xml:space="preserve"> </w:t>
      </w:r>
      <w:r>
        <w:rPr>
          <w:rFonts w:ascii="Times New Roman;serif" w:hAnsi="Times New Roman;serif"/>
          <w:b w:val="false"/>
          <w:color w:val="000000"/>
          <w:sz w:val="24"/>
        </w:rPr>
        <w:t>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pStyle w:val="TextBody"/>
        <w:bidi w:val="0"/>
        <w:spacing w:before="0" w:after="0"/>
        <w:ind w:left="0" w:right="0" w:firstLine="72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Contribution</w:t>
      </w:r>
      <w:r>
        <w:rPr>
          <w:rFonts w:ascii="Times New Roman;serif" w:hAnsi="Times New Roman;serif"/>
          <w:b w:val="false"/>
          <w:color w:val="000000"/>
          <w:sz w:val="24"/>
        </w:rPr>
        <w:t xml:space="preserve">. In order to provide for just and equitable contribution in circumstances in which the indemnification provided for in the foregoing paragraphs of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w:t>
      </w: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serif" w:hAnsi="Times New Roman;serif"/>
          <w:b w:val="false"/>
          <w:color w:val="000000"/>
          <w:sz w:val="24"/>
          <w:u w:val="single"/>
        </w:rPr>
        <w:t>Section 10(e)</w:t>
      </w:r>
      <w:r>
        <w:rPr>
          <w:color w:val="000000"/>
        </w:rPr>
        <w:t xml:space="preserve"> </w:t>
      </w:r>
      <w:r>
        <w:rPr>
          <w:rFonts w:ascii="Times New Roman;serif" w:hAnsi="Times New Roman;serif"/>
          <w:b w:val="false"/>
          <w:color w:val="000000"/>
          <w:sz w:val="24"/>
        </w:rPr>
        <w:t xml:space="preserve">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serif" w:hAnsi="Times New Roman;serif"/>
          <w:b w:val="false"/>
          <w:color w:val="000000"/>
          <w:sz w:val="24"/>
          <w:u w:val="single"/>
        </w:rPr>
        <w:t>Section 10(e)</w:t>
      </w:r>
      <w:r>
        <w:rPr>
          <w:color w:val="000000"/>
        </w:rPr>
        <w:t xml:space="preserve"> </w:t>
      </w:r>
      <w:r>
        <w:rPr>
          <w:rFonts w:ascii="Times New Roman;serif" w:hAnsi="Times New Roman;serif"/>
          <w:b w:val="false"/>
          <w:color w:val="000000"/>
          <w:sz w:val="24"/>
        </w:rPr>
        <w:t xml:space="preserve">shall be deemed to include, for the purpose of this </w:t>
      </w:r>
      <w:r>
        <w:rPr>
          <w:rFonts w:ascii="Times New Roman;serif" w:hAnsi="Times New Roman;serif"/>
          <w:b w:val="false"/>
          <w:color w:val="000000"/>
          <w:sz w:val="24"/>
          <w:u w:val="single"/>
        </w:rPr>
        <w:t>Section 10(e)</w:t>
      </w:r>
      <w:r>
        <w:rPr>
          <w:rFonts w:ascii="Times New Roman;serif" w:hAnsi="Times New Roman;serif"/>
          <w:b w:val="false"/>
          <w:color w:val="000000"/>
          <w:sz w:val="24"/>
        </w:rPr>
        <w:t xml:space="preserve">, any legal or other expenses reasonably incurred by such indemnified party in connection with investigating or defending any such action or claim to the extent consistent with </w:t>
      </w:r>
      <w:r>
        <w:rPr>
          <w:rFonts w:ascii="Times New Roman;serif" w:hAnsi="Times New Roman;serif"/>
          <w:b w:val="false"/>
          <w:color w:val="000000"/>
          <w:sz w:val="24"/>
          <w:u w:val="single"/>
        </w:rPr>
        <w:t>Section 10(c)</w:t>
      </w:r>
      <w:r>
        <w:rPr>
          <w:color w:val="000000"/>
        </w:rPr>
        <w:t xml:space="preserve"> </w:t>
      </w:r>
      <w:r>
        <w:rPr>
          <w:rFonts w:ascii="Times New Roman;serif" w:hAnsi="Times New Roman;serif"/>
          <w:b w:val="false"/>
          <w:color w:val="000000"/>
          <w:sz w:val="24"/>
        </w:rPr>
        <w:t xml:space="preserve">hereof. Notwithstanding the foregoing provisions of this </w:t>
      </w:r>
      <w:r>
        <w:rPr>
          <w:rFonts w:ascii="Times New Roman;serif" w:hAnsi="Times New Roman;serif"/>
          <w:b w:val="false"/>
          <w:color w:val="000000"/>
          <w:sz w:val="24"/>
          <w:u w:val="single"/>
        </w:rPr>
        <w:t>Section 10(e)</w:t>
      </w:r>
      <w:r>
        <w:rPr>
          <w:rFonts w:ascii="Times New Roman;serif" w:hAnsi="Times New Roman;serif"/>
          <w:b w:val="false"/>
          <w:color w:val="000000"/>
          <w:sz w:val="24"/>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serif" w:hAnsi="Times New Roman;serif"/>
          <w:b w:val="false"/>
          <w:color w:val="000000"/>
          <w:sz w:val="24"/>
          <w:u w:val="single"/>
        </w:rPr>
        <w:t>Section 10(e)</w:t>
      </w:r>
      <w:r>
        <w:rPr>
          <w:rFonts w:ascii="Times New Roman;serif" w:hAnsi="Times New Roman;serif"/>
          <w:b w:val="false"/>
          <w:color w:val="000000"/>
          <w:sz w:val="24"/>
        </w:rPr>
        <w:t xml:space="preserve">, any person who controls a party to this Agreement within the meaning of the Securities Act, any affiliates of the Agent and any officers, directors, partners, employees or agents of the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serif" w:hAnsi="Times New Roman;serif"/>
          <w:b w:val="false"/>
          <w:color w:val="000000"/>
          <w:sz w:val="24"/>
          <w:u w:val="single"/>
        </w:rPr>
        <w:t>Section 10(e)</w:t>
      </w:r>
      <w:r>
        <w:rPr>
          <w:rFonts w:ascii="Times New Roman;serif" w:hAnsi="Times New Roman;serif"/>
          <w:b w:val="false"/>
          <w:color w:val="000000"/>
          <w:sz w:val="24"/>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serif" w:hAnsi="Times New Roman;serif"/>
          <w:b w:val="false"/>
          <w:color w:val="000000"/>
          <w:sz w:val="24"/>
          <w:u w:val="single"/>
        </w:rPr>
        <w:t>Section 10(e)</w:t>
      </w:r>
      <w:r>
        <w:rPr>
          <w:color w:val="000000"/>
        </w:rPr>
        <w:t xml:space="preserve"> </w:t>
      </w:r>
      <w:r>
        <w:rPr>
          <w:rFonts w:ascii="Times New Roman;serif" w:hAnsi="Times New Roman;serif"/>
          <w:b w:val="false"/>
          <w:color w:val="000000"/>
          <w:sz w:val="24"/>
        </w:rPr>
        <w:t xml:space="preserve">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serif" w:hAnsi="Times New Roman;serif"/>
          <w:b w:val="false"/>
          <w:color w:val="000000"/>
          <w:sz w:val="24"/>
          <w:u w:val="single"/>
        </w:rPr>
        <w:t>Section 10(c)</w:t>
      </w:r>
      <w:r>
        <w:rPr>
          <w:color w:val="000000"/>
        </w:rPr>
        <w:t xml:space="preserve"> </w:t>
      </w:r>
      <w:r>
        <w:rPr>
          <w:rFonts w:ascii="Times New Roman;serif" w:hAnsi="Times New Roman;serif"/>
          <w:b w:val="false"/>
          <w:color w:val="000000"/>
          <w:sz w:val="24"/>
        </w:rPr>
        <w:t xml:space="preserve">hereof, no party will be liable for contribution with respect to any action or claim settled without its written consent if such consent is required pursuant to </w:t>
      </w:r>
      <w:r>
        <w:rPr>
          <w:rFonts w:ascii="Times New Roman;serif" w:hAnsi="Times New Roman;serif"/>
          <w:b w:val="false"/>
          <w:color w:val="000000"/>
          <w:sz w:val="24"/>
          <w:u w:val="single"/>
        </w:rPr>
        <w:t>Section 10(c)</w:t>
      </w:r>
      <w:r>
        <w:rPr>
          <w:color w:val="000000"/>
        </w:rPr>
        <w:t xml:space="preserve"> </w:t>
      </w:r>
      <w:r>
        <w:rPr>
          <w:rFonts w:ascii="Times New Roman;serif" w:hAnsi="Times New Roman;serif"/>
          <w:b w:val="false"/>
          <w:color w:val="000000"/>
          <w:sz w:val="24"/>
        </w:rPr>
        <w:t>hereof.</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Representations and Agreements to Survive Delivery</w:t>
      </w:r>
      <w:r>
        <w:rPr>
          <w:rFonts w:ascii="Times New Roman;serif" w:hAnsi="Times New Roman;serif"/>
          <w:b w:val="false"/>
          <w:color w:val="000000"/>
          <w:sz w:val="24"/>
        </w:rPr>
        <w:t xml:space="preserve">. The indemnity and contribution agreements contained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Termination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ind w:left="0" w:right="0" w:firstLine="720"/>
        <w:jc w:val="both"/>
        <w:rPr>
          <w:color w:val="000000"/>
        </w:rPr>
      </w:pPr>
      <w:r>
        <w:rPr>
          <w:color w:val="000000"/>
        </w:rPr>
        <w:t>    </w:t>
      </w:r>
      <w:r>
        <w:rPr>
          <w:rFonts w:ascii="Times New Roman;serif" w:hAnsi="Times New Roman;serif"/>
          <w:b w:val="false"/>
          <w:color w:val="000000"/>
          <w:sz w:val="24"/>
        </w:rPr>
        <w:t xml:space="preserve">(a)    The Agent may terminate this Agreement, by notice to the Company, as hereinafter specified at any time (1) if any Material Adverse Effect, or any development that could reasonably be expected to result in a Material Adverse Effect, has occurred, which individually or in the aggregate, in the sole judgment of the Agent is material and adverse and makes it impractical or inadvisable to market the Placement Shares or to enforce contracts for the sale of the Placement Shares, (2) the Company shall have failed, refused or been unable to perform any agreement on its part to be performed hereunder, (3) if there has occurred any material adverse change in the financial markets in the United States or the international financial markets, any outbreak of hostilities or escalation thereof or other calamity or crisis or any change or development involving a prospective </w:t>
      </w:r>
    </w:p>
    <w:p>
      <w:pPr>
        <w:pStyle w:val="TextBody"/>
        <w:bidi w:val="0"/>
        <w:spacing w:before="0" w:after="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(4) if trading in the Common Stock has been suspended or limited by the Commission or the Exchange, or if trading generally on the Exchange has been suspended or limited, or minimum prices for trading have been fixed on the Exchange, (5) if any suspension of trading of any securities of the Company on any exchange or in the over-the-counter market shall have occurred and be continuing, (6) if a major disruption of securities settlements or clearance services in the United States shall have occurred and be continuing, or (7) if a banking moratorium has been declared by either U.S. Federal or New York authorities. Any such termination shall be without liability of any party to any other party except that the provisions of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(Payment of Expenses),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(Indemnification and Contribution),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(Representations and Agreements to Survive Delivery),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(Governing Law and Time; Waiver of Jury Trial) and </w:t>
      </w:r>
      <w:r>
        <w:rPr>
          <w:rFonts w:ascii="Times New Roman;serif" w:hAnsi="Times New Roman;serif"/>
          <w:b w:val="false"/>
          <w:color w:val="000000"/>
          <w:sz w:val="24"/>
          <w:u w:val="single"/>
        </w:rPr>
        <w:t>Section 18</w:t>
      </w:r>
      <w:r>
        <w:rPr>
          <w:color w:val="000000"/>
        </w:rPr>
        <w:t xml:space="preserve"> </w:t>
      </w:r>
      <w:r>
        <w:rPr>
          <w:rFonts w:ascii="Times New Roman;serif" w:hAnsi="Times New Roman;serif"/>
          <w:b w:val="false"/>
          <w:color w:val="000000"/>
          <w:sz w:val="24"/>
        </w:rPr>
        <w:t xml:space="preserve">(Consent to Jurisdiction) hereof shall remain in full force and effect notwithstanding such termination. If the Agent elects to terminate this Agreement as provided in this </w:t>
      </w:r>
      <w:r>
        <w:rPr>
          <w:rFonts w:ascii="Times New Roman;serif" w:hAnsi="Times New Roman;serif"/>
          <w:b w:val="false"/>
          <w:color w:val="000000"/>
          <w:sz w:val="24"/>
          <w:u w:val="single"/>
        </w:rPr>
        <w:t>Section 12(a)</w:t>
      </w:r>
      <w:r>
        <w:rPr>
          <w:rFonts w:ascii="Times New Roman;serif" w:hAnsi="Times New Roman;serif"/>
          <w:b w:val="false"/>
          <w:color w:val="000000"/>
          <w:sz w:val="24"/>
        </w:rPr>
        <w:t xml:space="preserve">, the Agent shall provide the required notice as specified in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(Notices).</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(b)    The Company shall have the right, by giving ten (10) Business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19</w:t>
      </w:r>
      <w:r>
        <w:rPr>
          <w:color w:val="000000"/>
        </w:rPr>
        <w:t xml:space="preserve"> </w:t>
      </w:r>
      <w:r>
        <w:rPr>
          <w:rFonts w:ascii="Times New Roman;serif" w:hAnsi="Times New Roman;serif"/>
          <w:b w:val="false"/>
          <w:color w:val="000000"/>
          <w:sz w:val="24"/>
        </w:rPr>
        <w:t>hereof shall remain in full force and effect notwithstanding such termination.</w:t>
      </w:r>
    </w:p>
    <w:p>
      <w:pPr>
        <w:pStyle w:val="TextBody"/>
        <w:bidi w:val="0"/>
        <w:spacing w:before="0" w:after="0"/>
        <w:ind w:left="0" w:right="0" w:firstLine="1440"/>
        <w:jc w:val="both"/>
        <w:rPr/>
      </w:pPr>
      <w:r>
        <w:rPr/>
      </w:r>
    </w:p>
    <w:p>
      <w:pPr>
        <w:pStyle w:val="TextBody"/>
        <w:bidi w:val="0"/>
        <w:spacing w:lineRule="auto" w:line="268" w:before="0" w:after="0"/>
        <w:ind w:left="0" w:right="0" w:firstLine="1530"/>
        <w:jc w:val="both"/>
        <w:rPr/>
      </w:pPr>
      <w:r>
        <w:rPr>
          <w:rFonts w:ascii="Times New Roman;serif" w:hAnsi="Times New Roman;serif"/>
          <w:b w:val="false"/>
          <w:color w:val="000000"/>
          <w:sz w:val="24"/>
        </w:rPr>
        <w:t xml:space="preserve">(c)    The Agent shall have the right, by giving ten (10) Business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19</w:t>
      </w:r>
      <w:r>
        <w:rPr>
          <w:color w:val="000000"/>
        </w:rPr>
        <w:t xml:space="preserve"> </w:t>
      </w:r>
      <w:r>
        <w:rPr>
          <w:rFonts w:ascii="Times New Roman;serif" w:hAnsi="Times New Roman;serif"/>
          <w:b w:val="false"/>
          <w:color w:val="000000"/>
          <w:sz w:val="24"/>
        </w:rPr>
        <w:t>hereof shall remain in full force and effect notwithstanding such termination.</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Unless earlier terminated pursuant to this Section  12, this Agreement shall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automatically terminate upon the issuance and sale of all of the Placement Shares through the Agent on the terms and subject to the conditions set forth herein; provided that the provisions of Section  8 , Section  10 , Section  11 , Section  18 and Section  19 hereof shall remain in full force and effect notwithstanding such termination.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This Agreement shall remain in full force and effect unless terminated pursuant to Sections 12(a), (b), or (c) above or otherwise by mutual agreement of the parties; provided, however, that any such termination by mutual agreement shall in all cases be deemed to provide that Section 8, Section 10, Section 11, Section 18 and Section 19 shall remain in full force and effect.</w:t>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(f)    Any termination of this Agreement shall be effective on the date specified in such notice of termination;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All notices or other communications required or permitted to be given by any party to any other party pursuant to the terms of this Agreement shall be in writing, unless otherwise specified, and if sent to the Agent, shall be delivered to: </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Cantor Fitzgerald &amp; Co.</w:t>
      </w:r>
    </w:p>
    <w:p>
      <w:pPr>
        <w:pStyle w:val="TextBody"/>
        <w:bidi w:val="0"/>
        <w:spacing w:lineRule="auto" w:line="268"/>
        <w:ind w:left="0" w:right="0" w:firstLine="1440"/>
        <w:jc w:val="left"/>
        <w:rPr/>
      </w:pPr>
      <w:r>
        <w:rPr>
          <w:rFonts w:ascii="Times New Roman;serif" w:hAnsi="Times New Roman;serif"/>
          <w:b w:val="false"/>
          <w:color w:val="000000"/>
          <w:sz w:val="24"/>
        </w:rPr>
        <w:t>110 East 59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Street</w:t>
      </w:r>
    </w:p>
    <w:p>
      <w:pPr>
        <w:pStyle w:val="TextBody"/>
        <w:bidi w:val="0"/>
        <w:spacing w:before="0" w:after="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New York, New York 10022</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Attention: Capital Markets</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ind w:left="0" w:right="0" w:firstLine="144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Cantor Fitzgerald &amp; Co.</w:t>
      </w:r>
    </w:p>
    <w:p>
      <w:pPr>
        <w:pStyle w:val="TextBody"/>
        <w:bidi w:val="0"/>
        <w:spacing w:lineRule="auto" w:line="268" w:before="0" w:after="0"/>
        <w:ind w:left="0" w:right="0" w:firstLine="1440"/>
        <w:jc w:val="left"/>
        <w:rPr/>
      </w:pPr>
      <w:r>
        <w:rPr>
          <w:rFonts w:ascii="Times New Roman;serif" w:hAnsi="Times New Roman;serif"/>
          <w:b w:val="false"/>
          <w:color w:val="000000"/>
          <w:sz w:val="24"/>
        </w:rPr>
        <w:t>110 East 59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 xml:space="preserve">Street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New York, New York 10022</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ind w:left="0" w:right="0" w:firstLine="144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before="0" w:after="0"/>
        <w:jc w:val="both"/>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Duane Morris LLP</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22 Vanderbilt</w:t>
      </w:r>
    </w:p>
    <w:p>
      <w:pPr>
        <w:pStyle w:val="TextBody"/>
        <w:bidi w:val="0"/>
        <w:spacing w:lineRule="auto" w:line="268" w:before="0" w:after="0"/>
        <w:ind w:left="0" w:right="0" w:firstLine="1440"/>
        <w:jc w:val="left"/>
        <w:rPr/>
      </w:pPr>
      <w:r>
        <w:rPr>
          <w:rFonts w:ascii="Times New Roman;serif" w:hAnsi="Times New Roman;serif"/>
          <w:b w:val="false"/>
          <w:color w:val="000000"/>
          <w:sz w:val="24"/>
        </w:rPr>
        <w:t>335 Madison Avenue, 23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4"/>
        </w:rPr>
        <w:t>Floor</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New York, NY 10017</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Attention: James T. Seery</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Telephone: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ind w:left="0" w:right="0" w:firstLine="144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and if to the Company, shall be delivered to:</w:t>
      </w:r>
    </w:p>
    <w:p>
      <w:pPr>
        <w:pStyle w:val="TextBody"/>
        <w:bidi w:val="0"/>
        <w:spacing w:before="0" w:after="0"/>
        <w:jc w:val="both"/>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CapsoVision, Inc.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18805 Cox Avenue, Suite 250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Saratoga, CA 95070</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David Garcia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Telephone: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ind w:left="0" w:right="0" w:firstLine="144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before="0" w:after="0"/>
        <w:jc w:val="both"/>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O’Melveny &amp; Myers LLP </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12th Floor, JC Plaza</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1225 Nanjing Road West</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Shanghai 200040, China</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Attention: Portia Ku</w:t>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Telephone: [***]</w:t>
        <w:br/>
        <w:t>        E-mail: [***]</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serif" w:hAnsi="Times New Roman;serif"/>
          <w:b/>
          <w:color w:val="000000"/>
          <w:sz w:val="24"/>
          <w:u w:val="single"/>
        </w:rPr>
        <w:t>Business Day</w:t>
      </w:r>
      <w:r>
        <w:rPr>
          <w:color w:val="000000"/>
        </w:rPr>
        <w:t xml:space="preserve">” </w:t>
      </w:r>
      <w:r>
        <w:rPr>
          <w:rFonts w:ascii="Times New Roman;serif" w:hAnsi="Times New Roman;serif"/>
          <w:b w:val="false"/>
          <w:color w:val="000000"/>
          <w:sz w:val="24"/>
        </w:rPr>
        <w:t xml:space="preserve">shall mean any day on which the Exchange and commercial banks in the City of New York are open for business. </w:t>
      </w:r>
    </w:p>
    <w:p>
      <w:pPr>
        <w:pStyle w:val="TextBody"/>
        <w:bidi w:val="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erif" w:hAnsi="Times New Roman;serif"/>
          <w:b w:val="false"/>
          <w:color w:val="000000"/>
          <w:sz w:val="24"/>
        </w:rPr>
        <w:t>An electronic communication (“</w:t>
      </w:r>
      <w:r>
        <w:rPr>
          <w:rFonts w:ascii="Times New Roman;serif" w:hAnsi="Times New Roman;serif"/>
          <w:b/>
          <w:color w:val="000000"/>
          <w:sz w:val="24"/>
          <w:u w:val="single"/>
        </w:rPr>
        <w:t>Electronic Notice</w:t>
      </w:r>
      <w:r>
        <w:rPr>
          <w:color w:val="000000"/>
        </w:rPr>
        <w:t>”</w:t>
      </w:r>
      <w:r>
        <w:rPr>
          <w:rFonts w:ascii="Times New Roman;serif" w:hAnsi="Times New Roman;serif"/>
          <w:b w:val="false"/>
          <w:color w:val="000000"/>
          <w:sz w:val="24"/>
        </w:rPr>
        <w:t xml:space="preserve">) shall be deemed written notice for purposes of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serif" w:hAnsi="Times New Roman;serif"/>
          <w:b/>
          <w:color w:val="000000"/>
          <w:sz w:val="24"/>
          <w:u w:val="single"/>
        </w:rPr>
        <w:t>Nonelectronic Notic</w:t>
      </w:r>
      <w:r>
        <w:rPr>
          <w:rFonts w:ascii="Times New Roman;serif" w:hAnsi="Times New Roman;serif"/>
          <w:b/>
          <w:color w:val="000000"/>
          <w:sz w:val="24"/>
        </w:rPr>
        <w:t>e</w:t>
      </w:r>
      <w:r>
        <w:rPr>
          <w:color w:val="000000"/>
        </w:rPr>
        <w:t>”</w:t>
      </w:r>
      <w:r>
        <w:rPr>
          <w:rFonts w:ascii="Times New Roman;serif" w:hAnsi="Times New Roman;serif"/>
          <w:b w:val="false"/>
          <w:color w:val="000000"/>
          <w:sz w:val="24"/>
        </w:rPr>
        <w:t>) which shall be sent to the requesting party within ten (10) days of receipt of the written request for Nonelectronic Notice.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This Agreement shall inure to the benefit of and be binding upon the Company and the Agent and their respective successors and the parties referred to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Agent may assign its rights and obligations hereunder to an affiliate thereof without obtaining the Company’s consent.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Adjustments for Stock Splits</w:t>
      </w:r>
      <w:r>
        <w:rPr>
          <w:rFonts w:ascii="Times New Roman;serif" w:hAnsi="Times New Roman;serif"/>
          <w:b w:val="false"/>
          <w:color w:val="000000"/>
          <w:sz w:val="24"/>
        </w:rPr>
        <w:t>. The parties acknowledge and agree that all share-related numbers contained in this Agreement shall be adjusted to take into account any stock split, stock dividend or similar event effected with respect to the Placement Shares.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Entire Agreement; Amendment; Severability; Waiver</w:t>
      </w:r>
      <w:r>
        <w:rPr>
          <w:rFonts w:ascii="Times New Roman;serif" w:hAnsi="Times New Roman;serif"/>
          <w:b w:val="false"/>
          <w:color w:val="000000"/>
          <w:sz w:val="24"/>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Recognition of U.S. Special Resolutions Regimes</w:t>
      </w:r>
      <w:r>
        <w:rPr>
          <w:rFonts w:ascii="Times New Roman;serif" w:hAnsi="Times New Roman;serif"/>
          <w:b w:val="false"/>
          <w:color w:val="000000"/>
          <w:sz w:val="24"/>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serif" w:hAnsi="Times New Roman;serif"/>
          <w:b/>
          <w:color w:val="000000"/>
          <w:sz w:val="24"/>
        </w:rPr>
        <w:t>BHC Act Affiliate</w:t>
      </w:r>
      <w:r>
        <w:rPr>
          <w:color w:val="000000"/>
        </w:rPr>
        <w:t xml:space="preserve">” </w:t>
      </w:r>
      <w:r>
        <w:rPr>
          <w:rFonts w:ascii="Times New Roman;serif" w:hAnsi="Times New Roman;serif"/>
          <w:b w:val="false"/>
          <w:color w:val="000000"/>
          <w:sz w:val="24"/>
        </w:rPr>
        <w:t xml:space="preserve">has the meaning assigned to the term “affiliate” in, and shall be interpreted in accordance with, 12 U.S.C. § 1841(k); </w:t>
      </w: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(B) “</w:t>
      </w:r>
      <w:r>
        <w:rPr>
          <w:rFonts w:ascii="Times New Roman;serif" w:hAnsi="Times New Roman;serif"/>
          <w:b/>
          <w:color w:val="000000"/>
          <w:sz w:val="24"/>
        </w:rPr>
        <w:t>Covered Entity</w:t>
      </w:r>
      <w:r>
        <w:rPr>
          <w:color w:val="000000"/>
        </w:rPr>
        <w:t xml:space="preserve">” </w:t>
      </w:r>
      <w:r>
        <w:rPr>
          <w:rFonts w:ascii="Times New Roman;serif" w:hAnsi="Times New Roman;serif"/>
          <w:b w:val="false"/>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serif" w:hAnsi="Times New Roman;serif"/>
          <w:b/>
          <w:color w:val="000000"/>
          <w:sz w:val="24"/>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 and (D) “</w:t>
      </w:r>
      <w:r>
        <w:rPr>
          <w:rFonts w:ascii="Times New Roman;serif" w:hAnsi="Times New Roman;serif"/>
          <w:b/>
          <w:color w:val="000000"/>
          <w:sz w:val="24"/>
        </w:rPr>
        <w:t>U.S. Special Resolution Regime</w:t>
      </w:r>
      <w:r>
        <w:rPr>
          <w:color w:val="000000"/>
        </w:rPr>
        <w:t xml:space="preserve">” </w:t>
      </w:r>
      <w:r>
        <w:rPr>
          <w:rFonts w:ascii="Times New Roman;serif" w:hAnsi="Times New Roman;serif"/>
          <w:b w:val="false"/>
          <w:color w:val="000000"/>
          <w:sz w:val="24"/>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18.    </w:t>
      </w:r>
      <w:r>
        <w:rPr>
          <w:rFonts w:ascii="Times New Roman;serif" w:hAnsi="Times New Roman;serif"/>
          <w:b/>
          <w:color w:val="000000"/>
          <w:sz w:val="24"/>
          <w:u w:val="single"/>
        </w:rPr>
        <w:t>GOVERNING LAW AND TIME; WAIVER OF JURY TRIAL</w:t>
      </w:r>
      <w:r>
        <w:rPr>
          <w:rFonts w:ascii="Times New Roman;serif" w:hAnsi="Times New Roman;serif"/>
          <w:b/>
          <w:color w:val="000000"/>
          <w:sz w:val="24"/>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19.    </w:t>
      </w:r>
      <w:r>
        <w:rPr>
          <w:rFonts w:ascii="Times New Roman;serif" w:hAnsi="Times New Roman;serif"/>
          <w:b/>
          <w:color w:val="000000"/>
          <w:sz w:val="24"/>
          <w:u w:val="single"/>
        </w:rPr>
        <w:t>CONSENT TO JURISDICTION</w:t>
      </w:r>
      <w:r>
        <w:rPr>
          <w:rFonts w:ascii="Times New Roman;serif" w:hAnsi="Times New Roman;serif"/>
          <w:b/>
          <w:color w:val="000000"/>
          <w:sz w:val="24"/>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Construction</w:t>
      </w:r>
      <w:r>
        <w:rPr>
          <w:rFonts w:ascii="Times New Roman;serif" w:hAnsi="Times New Roman;serif"/>
          <w:b w:val="false"/>
          <w:color w:val="000000"/>
          <w:sz w:val="24"/>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pStyle w:val="TextBody"/>
        <w:bidi w:val="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Permitted Free Writing Prospectuses</w:t>
      </w:r>
      <w:r>
        <w:rPr>
          <w:rFonts w:ascii="Times New Roman;serif" w:hAnsi="Times New Roman;serif"/>
          <w:b w:val="false"/>
          <w:color w:val="000000"/>
          <w:sz w:val="24"/>
        </w:rPr>
        <w:t xml:space="preserve">. The Company represents, warrants and agrees that, unless it obtains the prior written consent of the Agent, and the Agent represents, warrants and agrees that, unless it obtains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serif" w:hAnsi="Times New Roman;serif"/>
          <w:b w:val="false"/>
          <w:color w:val="000000"/>
          <w:sz w:val="24"/>
          <w:u w:val="single"/>
        </w:rPr>
        <w:t>Exhibit 21</w:t>
      </w:r>
      <w:r>
        <w:rPr>
          <w:color w:val="000000"/>
        </w:rPr>
        <w:t xml:space="preserve"> </w:t>
      </w:r>
      <w:r>
        <w:rPr>
          <w:rFonts w:ascii="Times New Roman;serif" w:hAnsi="Times New Roman;serif"/>
          <w:b w:val="false"/>
          <w:color w:val="000000"/>
          <w:sz w:val="24"/>
        </w:rPr>
        <w:t>hereto are Permitted Free Writing Prospectuses.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Absence of Fiduciary Relationship</w:t>
      </w:r>
      <w:r>
        <w:rPr>
          <w:rFonts w:ascii="Times New Roman;serif" w:hAnsi="Times New Roman;serif"/>
          <w:b w:val="false"/>
          <w:color w:val="000000"/>
          <w:sz w:val="24"/>
        </w:rPr>
        <w:t>. The Company acknowledges and agrees that: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 </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it is capable of evaluating and understanding, and understands and accepts, the terms, risks and conditions of the transactions contemplated by this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the Agent’s counsel confidential to the extent not otherwise publicly-available.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u w:val="single"/>
        </w:rPr>
        <w:t>2</w:t>
      </w:r>
      <w:r>
        <w:rPr>
          <w:rFonts w:ascii="Times New Roman;serif" w:hAnsi="Times New Roman;serif"/>
          <w:b w:val="false"/>
          <w:color w:val="000000"/>
          <w:sz w:val="24"/>
        </w:rPr>
        <w:t>4.    </w:t>
      </w:r>
      <w:r>
        <w:rPr>
          <w:rFonts w:ascii="Times New Roman;serif" w:hAnsi="Times New Roman;serif"/>
          <w:b w:val="false"/>
          <w:color w:val="000000"/>
          <w:sz w:val="24"/>
          <w:u w:val="single"/>
        </w:rPr>
        <w:t>Definitions</w:t>
      </w:r>
      <w:r>
        <w:rPr>
          <w:rFonts w:ascii="Times New Roman;serif" w:hAnsi="Times New Roman;serif"/>
          <w:b w:val="false"/>
          <w:color w:val="000000"/>
          <w:sz w:val="24"/>
        </w:rPr>
        <w:t>. As used in this Agreement, the following terms have the respective meanings set forth below:</w:t>
      </w:r>
    </w:p>
    <w:p>
      <w:pPr>
        <w:pStyle w:val="TextBody"/>
        <w:bidi w:val="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color w:val="000000"/>
        </w:rPr>
        <w:t>“</w:t>
      </w:r>
      <w:r>
        <w:rPr>
          <w:rFonts w:ascii="Times New Roman;serif" w:hAnsi="Times New Roman;serif"/>
          <w:b/>
          <w:color w:val="000000"/>
          <w:sz w:val="24"/>
          <w:u w:val="single"/>
        </w:rPr>
        <w:t>Applicable Time</w:t>
      </w:r>
      <w:r>
        <w:rPr>
          <w:color w:val="000000"/>
        </w:rPr>
        <w:t xml:space="preserve">” </w:t>
      </w:r>
      <w:r>
        <w:rPr>
          <w:rFonts w:ascii="Times New Roman;serif" w:hAnsi="Times New Roman;serif"/>
          <w:b w:val="false"/>
          <w:color w:val="000000"/>
          <w:sz w:val="24"/>
        </w:rPr>
        <w:t>means (i) each Representation Date, (ii) the time of each sale of any Placement Shares pursuant to this Agreement and (iii) each Settlement 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color w:val="000000"/>
          <w:sz w:val="24"/>
          <w:u w:val="single"/>
        </w:rPr>
        <w:t>Governmental Authority</w:t>
      </w:r>
      <w:r>
        <w:rPr>
          <w:color w:val="000000"/>
        </w:rPr>
        <w:t xml:space="preserve">” </w:t>
      </w:r>
      <w:r>
        <w:rPr>
          <w:rFonts w:ascii="Times New Roman;serif" w:hAnsi="Times New Roman;serif"/>
          <w:b w:val="false"/>
          <w:color w:val="000000"/>
          <w:sz w:val="24"/>
        </w:rPr>
        <w:t>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color w:val="000000"/>
          <w:sz w:val="24"/>
          <w:u w:val="single"/>
        </w:rPr>
        <w:t>Issuer Free Writing Prospectus</w:t>
      </w:r>
      <w:r>
        <w:rPr>
          <w:color w:val="000000"/>
        </w:rPr>
        <w:t xml:space="preserve">” </w:t>
      </w:r>
      <w:r>
        <w:rPr>
          <w:rFonts w:ascii="Times New Roman;serif" w:hAnsi="Times New Roman;serif"/>
          <w:b w:val="false"/>
          <w:color w:val="000000"/>
          <w:sz w:val="24"/>
        </w:rPr>
        <w:t xml:space="preserve">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color w:val="000000"/>
          <w:sz w:val="24"/>
          <w:u w:val="single"/>
        </w:rPr>
        <w:t>Rule 164</w:t>
      </w:r>
      <w:r>
        <w:rPr>
          <w:rFonts w:ascii="Times New Roman;serif" w:hAnsi="Times New Roman;serif"/>
          <w:b w:val="false"/>
          <w:color w:val="000000"/>
          <w:sz w:val="24"/>
        </w:rPr>
        <w:t>,” “</w:t>
      </w:r>
      <w:r>
        <w:rPr>
          <w:rFonts w:ascii="Times New Roman;serif" w:hAnsi="Times New Roman;serif"/>
          <w:b/>
          <w:color w:val="000000"/>
          <w:sz w:val="24"/>
          <w:u w:val="single"/>
        </w:rPr>
        <w:t>Rule 172</w:t>
      </w:r>
      <w:r>
        <w:rPr>
          <w:rFonts w:ascii="Times New Roman;serif" w:hAnsi="Times New Roman;serif"/>
          <w:b w:val="false"/>
          <w:color w:val="000000"/>
          <w:sz w:val="24"/>
        </w:rPr>
        <w:t>,” “</w:t>
      </w:r>
      <w:r>
        <w:rPr>
          <w:rFonts w:ascii="Times New Roman;serif" w:hAnsi="Times New Roman;serif"/>
          <w:b/>
          <w:color w:val="000000"/>
          <w:sz w:val="24"/>
          <w:u w:val="single"/>
        </w:rPr>
        <w:t>Rule 405</w:t>
      </w:r>
      <w:r>
        <w:rPr>
          <w:rFonts w:ascii="Times New Roman;serif" w:hAnsi="Times New Roman;serif"/>
          <w:b w:val="false"/>
          <w:color w:val="000000"/>
          <w:sz w:val="24"/>
        </w:rPr>
        <w:t>,” “</w:t>
      </w:r>
      <w:r>
        <w:rPr>
          <w:rFonts w:ascii="Times New Roman;serif" w:hAnsi="Times New Roman;serif"/>
          <w:b/>
          <w:color w:val="000000"/>
          <w:sz w:val="24"/>
          <w:u w:val="single"/>
        </w:rPr>
        <w:t>Rule 415</w:t>
      </w:r>
      <w:r>
        <w:rPr>
          <w:rFonts w:ascii="Times New Roman;serif" w:hAnsi="Times New Roman;serif"/>
          <w:b w:val="false"/>
          <w:color w:val="000000"/>
          <w:sz w:val="24"/>
        </w:rPr>
        <w:t>,” “</w:t>
      </w:r>
      <w:r>
        <w:rPr>
          <w:rFonts w:ascii="Times New Roman;serif" w:hAnsi="Times New Roman;serif"/>
          <w:b/>
          <w:color w:val="000000"/>
          <w:sz w:val="24"/>
          <w:u w:val="single"/>
        </w:rPr>
        <w:t>Rule 424</w:t>
      </w:r>
      <w:r>
        <w:rPr>
          <w:rFonts w:ascii="Times New Roman;serif" w:hAnsi="Times New Roman;serif"/>
          <w:b w:val="false"/>
          <w:color w:val="000000"/>
          <w:sz w:val="24"/>
        </w:rPr>
        <w:t>,” “</w:t>
      </w:r>
      <w:r>
        <w:rPr>
          <w:rFonts w:ascii="Times New Roman;serif" w:hAnsi="Times New Roman;serif"/>
          <w:b/>
          <w:color w:val="000000"/>
          <w:sz w:val="24"/>
          <w:u w:val="single"/>
        </w:rPr>
        <w:t>Rule 424(b)</w:t>
      </w:r>
      <w:r>
        <w:rPr>
          <w:rFonts w:ascii="Times New Roman;serif" w:hAnsi="Times New Roman;serif"/>
          <w:b w:val="false"/>
          <w:color w:val="000000"/>
          <w:sz w:val="24"/>
        </w:rPr>
        <w:t>,” “</w:t>
      </w:r>
      <w:r>
        <w:rPr>
          <w:rFonts w:ascii="Times New Roman;serif" w:hAnsi="Times New Roman;serif"/>
          <w:b/>
          <w:color w:val="000000"/>
          <w:sz w:val="24"/>
          <w:u w:val="single"/>
        </w:rPr>
        <w:t>Rule 430B</w:t>
      </w:r>
      <w:r>
        <w:rPr>
          <w:rFonts w:ascii="Times New Roman;serif" w:hAnsi="Times New Roman;serif"/>
          <w:b w:val="false"/>
          <w:color w:val="000000"/>
          <w:sz w:val="24"/>
        </w:rPr>
        <w:t>,” and “</w:t>
      </w:r>
      <w:r>
        <w:rPr>
          <w:rFonts w:ascii="Times New Roman;serif" w:hAnsi="Times New Roman;serif"/>
          <w:b/>
          <w:color w:val="000000"/>
          <w:sz w:val="24"/>
          <w:u w:val="single"/>
        </w:rPr>
        <w:t>Rule 433</w:t>
      </w:r>
      <w:r>
        <w:rPr>
          <w:color w:val="000000"/>
        </w:rPr>
        <w:t xml:space="preserve">” </w:t>
      </w:r>
      <w:r>
        <w:rPr>
          <w:rFonts w:ascii="Times New Roman;serif" w:hAnsi="Times New Roman;serif"/>
          <w:b w:val="false"/>
          <w:color w:val="000000"/>
          <w:sz w:val="24"/>
        </w:rPr>
        <w:t>refer to such rules under the Securities Act.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color w:val="000000"/>
          <w:sz w:val="24"/>
        </w:rPr>
        <w:t>Rule 462(b) Registration Statement</w:t>
      </w:r>
      <w:r>
        <w:rPr>
          <w:color w:val="000000"/>
        </w:rPr>
        <w:t xml:space="preserve">” </w:t>
      </w:r>
      <w:r>
        <w:rPr>
          <w:rFonts w:ascii="Times New Roman;serif" w:hAnsi="Times New Roman;serif"/>
          <w:b w:val="false"/>
          <w:color w:val="000000"/>
          <w:sz w:val="24"/>
        </w:rPr>
        <w:t>means any registration statement filed by the Company pursuant to Rule 462(b) under the Securities Act in connection with the offer and sale of Placement Shares.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spacing w:before="0" w:after="0"/>
        <w:ind w:left="0" w:right="0" w:firstLine="720"/>
        <w:jc w:val="both"/>
        <w:rPr/>
      </w:pPr>
      <w:r>
        <w:rPr/>
      </w:r>
    </w:p>
    <w:p>
      <w:pPr>
        <w:pStyle w:val="TextBody"/>
        <w:bidi w:val="0"/>
        <w:spacing w:lineRule="auto" w:line="26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ind w:left="0" w:right="0" w:firstLine="4320"/>
        <w:jc w:val="both"/>
        <w:rPr/>
      </w:pPr>
      <w:r>
        <w:rPr/>
      </w:r>
    </w:p>
    <w:p>
      <w:pPr>
        <w:pStyle w:val="TextBody"/>
        <w:bidi w:val="0"/>
        <w:spacing w:lineRule="auto" w:line="26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 xml:space="preserve">CAPSOVISION, INC. </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By: /s/ Kang-Huai (Johnny) Wang</w:t>
      </w:r>
      <w:r>
        <w:rPr>
          <w:color w:val="000000"/>
          <w:u w:val="single"/>
        </w:rPr>
        <w:t xml:space="preserve">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Name: Kang-Huai (Johnny) Wang</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p>
      <w:pPr>
        <w:pStyle w:val="TextBody"/>
        <w:bidi w:val="0"/>
        <w:spacing w:before="0" w:after="0"/>
        <w:ind w:left="0" w:right="0" w:firstLine="7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ACCEPTED as of the date first-above written:</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CANTOR FITZGERALD &amp; CO.</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By: /s/ Sameer Vasudev</w:t>
      </w:r>
      <w:r>
        <w:rPr>
          <w:color w:val="000000"/>
          <w:u w:val="single"/>
        </w:rPr>
        <w:t xml:space="preserve">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Sameer Vasudev</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Title: Managing Director </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ind w:left="0" w:right="0" w:firstLine="432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center"/>
        <w:rPr>
          <w:rFonts w:ascii="Times New Roman;serif" w:hAnsi="Times New Roman;serif"/>
          <w:b/>
          <w:color w:val="000000"/>
          <w:sz w:val="24"/>
        </w:rPr>
      </w:pPr>
      <w:r>
        <w:rPr>
          <w:rFonts w:ascii="Times New Roman;serif" w:hAnsi="Times New Roman;serif"/>
          <w:b/>
          <w:color w:val="000000"/>
          <w:sz w:val="24"/>
        </w:rPr>
        <w:t>SCHEDULE 1</w:t>
      </w:r>
    </w:p>
    <w:p>
      <w:pPr>
        <w:pStyle w:val="TextBody"/>
        <w:bidi w:val="0"/>
        <w:spacing w:before="0" w:after="0"/>
        <w:ind w:left="0" w:right="0" w:firstLine="4320"/>
        <w:jc w:val="center"/>
        <w:rPr/>
      </w:pPr>
      <w:r>
        <w:rPr/>
      </w:r>
    </w:p>
    <w:p>
      <w:pPr>
        <w:pStyle w:val="TextBody"/>
        <w:bidi w:val="0"/>
        <w:spacing w:before="0" w:after="0"/>
        <w:ind w:left="0" w:right="0" w:firstLine="432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__________________________</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Form of Placement Notice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__________________________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From: CapsoVision,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To: Cantor Fitzgerald &amp; Co.</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Subject: Placement Notice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Date: [•], 20[•]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Pursuant to the terms and subject to the conditions contained in the Sales Agreement between CapsoVision, Inc.,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and Cantor Fitzgerald &amp; Co. (“</w:t>
      </w:r>
      <w:r>
        <w:rPr>
          <w:rFonts w:ascii="Times New Roman;serif" w:hAnsi="Times New Roman;serif"/>
          <w:b/>
          <w:color w:val="000000"/>
          <w:sz w:val="24"/>
          <w:u w:val="single"/>
        </w:rPr>
        <w:t>Agent</w:t>
      </w:r>
      <w:r>
        <w:rPr>
          <w:color w:val="000000"/>
        </w:rPr>
        <w:t>”</w:t>
      </w:r>
      <w:r>
        <w:rPr>
          <w:rFonts w:ascii="Times New Roman;serif" w:hAnsi="Times New Roman;serif"/>
          <w:b w:val="false"/>
          <w:color w:val="000000"/>
          <w:sz w:val="24"/>
        </w:rPr>
        <w:t xml:space="preserve">), dated August 13, 2026, the Company hereby requests that the Agent sell up to [•] of the Company’s common stock, par value $0.001 per share, at a minimum market price of $[•] per share, during the time period beginning [month, day, time] and ending [month, day, time].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ind w:left="0" w:right="0" w:firstLine="72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SCHEDULE 2</w:t>
      </w:r>
    </w:p>
    <w:p>
      <w:pPr>
        <w:pStyle w:val="TextBody"/>
        <w:bidi w:val="0"/>
        <w:spacing w:before="0" w:after="0"/>
        <w:ind w:left="0" w:right="0" w:firstLine="72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__________________________</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Compensation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__________________________</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pay to the Agent in cash, upon each sale of Placement Shares pursuant to this Agreement, an amount equal to up to 3.0% of the aggregate gross proceeds from each sale of Placement Shares.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ind w:left="0" w:right="0" w:firstLine="72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SCHEDULE 3</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__________________________</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Notice Parties</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__________________________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David Garcia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The Agent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Sameer Vasudev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Exhibit 7(l)</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Form of Representation Date Certificate Pursuant to Section 7(l)</w:t>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The undersigned, the duly qualified and elected [•], of CapsoVision,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does hereby certify in such capacity and on behalf of the Company, pursuant to </w:t>
      </w:r>
      <w:r>
        <w:rPr>
          <w:rFonts w:ascii="Times New Roman;serif" w:hAnsi="Times New Roman;serif"/>
          <w:b w:val="false"/>
          <w:color w:val="000000"/>
          <w:sz w:val="24"/>
          <w:u w:val="single"/>
        </w:rPr>
        <w:t>Section 7(l)</w:t>
      </w:r>
      <w:r>
        <w:rPr>
          <w:color w:val="000000"/>
        </w:rPr>
        <w:t xml:space="preserve"> </w:t>
      </w:r>
      <w:r>
        <w:rPr>
          <w:rFonts w:ascii="Times New Roman;serif" w:hAnsi="Times New Roman;serif"/>
          <w:b w:val="false"/>
          <w:color w:val="000000"/>
          <w:sz w:val="24"/>
        </w:rPr>
        <w:t>of the Sales Agreement, dated August 13, 2026 (the “</w:t>
      </w:r>
      <w:r>
        <w:rPr>
          <w:rFonts w:ascii="Times New Roman;serif" w:hAnsi="Times New Roman;serif"/>
          <w:b w:val="false"/>
          <w:color w:val="000000"/>
          <w:sz w:val="24"/>
          <w:u w:val="single"/>
        </w:rPr>
        <w:t>Sales Agreement</w:t>
      </w:r>
      <w:r>
        <w:rPr>
          <w:color w:val="000000"/>
        </w:rPr>
        <w:t>”</w:t>
      </w:r>
      <w:r>
        <w:rPr>
          <w:rFonts w:ascii="Times New Roman;serif" w:hAnsi="Times New Roman;serif"/>
          <w:b w:val="false"/>
          <w:color w:val="000000"/>
          <w:sz w:val="24"/>
        </w:rPr>
        <w:t>), between the Company and Cantor Fitzgerald &amp; Co., that to the best of the knowledge of the undersigned: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(i)    The representations and warranties of the Company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of the Sales Agreement (A) to the extent such representations and warranties are subject to qualifications and</w:t>
      </w:r>
    </w:p>
    <w:p>
      <w:pPr>
        <w:pStyle w:val="TextBody"/>
        <w:bidi w:val="0"/>
        <w:spacing w:lineRule="auto" w:line="288" w:before="0" w:after="240"/>
        <w:jc w:val="both"/>
        <w:rPr/>
      </w:pPr>
      <w:r>
        <w:rPr>
          <w:rFonts w:ascii="Times New Roman;serif" w:hAnsi="Times New Roman;serif"/>
          <w:b w:val="false"/>
          <w:color w:val="000000"/>
          <w:sz w:val="24"/>
        </w:rPr>
        <w:t xml:space="preserve">exceptions contained therein related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the case of clauses (A) and (B) such representations and warranties also shall be qualified by the disclosure included or incorporated by reference in the Registration Statement and Prospectus; and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(ii)    The Company has complied with all agreements and satisfied all conditions on its part to be performed or satisfied pursuant to the Sales Agreement at or prior to the date hereof.</w:t>
      </w:r>
      <w:r>
        <w:rPr>
          <w:color w:val="000000"/>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without definition shall have the meanings given to such terms in the Sales Agreement.</w:t>
      </w:r>
    </w:p>
    <w:p>
      <w:pPr>
        <w:pStyle w:val="TextBody"/>
        <w:bidi w:val="0"/>
        <w:spacing w:before="0" w:after="0"/>
        <w:ind w:left="0" w:right="0" w:firstLine="4320"/>
        <w:jc w:val="both"/>
        <w:rPr/>
      </w:pPr>
      <w:r>
        <w:rPr/>
      </w:r>
    </w:p>
    <w:p>
      <w:pPr>
        <w:pStyle w:val="TextBody"/>
        <w:bidi w:val="0"/>
        <w:spacing w:lineRule="auto" w:line="26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CapsoVision, Inc.</w:t>
      </w:r>
    </w:p>
    <w:p>
      <w:pPr>
        <w:pStyle w:val="TextBody"/>
        <w:bidi w:val="0"/>
        <w:spacing w:before="0" w:after="0"/>
        <w:ind w:left="0" w:right="0" w:firstLine="4320"/>
        <w:jc w:val="both"/>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Date: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Exhibit 21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Permitted Free Writing Prospectus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240"/>
        <w:jc w:val="center"/>
        <w:rPr/>
      </w:pPr>
      <w:r>
        <w:rPr/>
        <w:drawing>
          <wp:inline distT="0" distB="0" distL="0" distR="0">
            <wp:extent cx="2762250" cy="781050"/>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2"/>
                    <a:stretch>
                      <a:fillRect/>
                    </a:stretch>
                  </pic:blipFill>
                  <pic:spPr bwMode="auto">
                    <a:xfrm>
                      <a:off x="0" y="0"/>
                      <a:ext cx="2762250" cy="781050"/>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CapsoVision Reports Second Quarter 2026 Financial Results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SARATOGA, Calif., August 13, 2026 - CapsoVision, Inc. (NASDAQ: CV), a commercial-stage medical technology company developing advanced imaging and AI-enabled capsule endoscopy solutions, today reported financial results and provided a business update for its second quarter ended June 30, 2026.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Highlights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Reported second quarter 2026 revenue was $3.6 million, up 10% year over year.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CapsoCam Plus® used by over 176,000 patients as of June 30,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Launched AI Highlights™, the AI-assisted reading feature for CapsoCam Plus®, commercially in the European Union and other international markets to support physician review of small bowel capsule endoscopy studies using the CapsoCam Plus® system.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Anticipate FDA clearance of AI Highlights™ by the end of the third quarter of 2026, with U.S. commercial launch expected shortly thereafter.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Continued commercial momentum with expanding adoption across large hospital systems and GI networks, including key customer renewals and growing traction with new customers.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Pipeline continues to advance with CapsoCam Colon™ on track for 510(k) submission in the fourth quarter of 2026, with ongoing enrollment in the CapsoCam UGI clinical study for pancreatic cancer detection.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Appointed David S. Shields, M.D., to the Board of Directors, effective July 1,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Entered into a sales agreement of up to $100 million providing for an at-the-market equity offering program with Cantor.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Management Commentary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second quarter marked another important step in the evolution of CapsoVision as we advanced both our commercial execution and product innovation. We were pleased to launch AI Highlights™ internationally, providing physicians in Europe with an AI-assisted workflow solution that complements our CapsoCam Plus® platform and reinforces our long-term vision of integrated, AI-enabled capsule endoscopy," said Johnny Wang, President and Chief Executive Officer of CapsoVision.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"Commercially, we continue to see encouraging momentum across our business. Revenue growth was in line with our expectations, hospital network adoption continues to expand, and we are adding new customers who recognize the value of our panoramic capsule platform. We also continue to hear strong interest from customers awaiting the U.S. launch of AI Highlights™, which we now anticipate following FDA clearance expected this fall. As we look toward the second half of the year, we remain focused on executing against our commercial strategy while advancing our broader product pipeline."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Second Quarter 2026 Financial Results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revenue was $3.6 million compared to $3.3 million in the second quarter of 2025. The primary driver for the revenue growth was a 13% increase in the number of CapsoCam Plus capsules sold offset by a period-over-period decrease of approximately 3% in the average selling price.</w:t>
      </w:r>
    </w:p>
    <w:p>
      <w:pPr>
        <w:pStyle w:val="TextBody"/>
        <w:bidi w:val="0"/>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Gross profit was 1.9 million, an increase of $0.1 million, or 3% compared to the second quarter of 2025. Gross margin was 51%, compared to 55% in the second quarter of 2025. The decrease was due to a pressure on selling prices we have when operating in a highly competitive market and changes the U.S. government made to the trade policies and tariffs at the beginning of the year resulting in an increase in expenses for customs and tariffs.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expenses were $9.5 million, a $3.0 million increase from the second quarter of 2025, driven primarily by expenses associated with the colon pivotal study and other clinical trials, non-recurring engineering services for the Canon development project, expenses for operating as a public company, and 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and cash equivalents totaled $9.1 million as of June 30,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CapsoVision will host a conference call today, August 13, 2026, at 4:30 p.m. ET to discuss its second quarter financial results. Individuals interested in listening to the conference call may do so by dialing (800) 715-9871 for domestic callers or (646) 307-1963 for international callers and referencing conference ID 9178774, or from the webcast link on the Events page in the investor relations section of the company's website at www.capsovision.com.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access the replay, please register via the webcast link on the Events page. The webcast will be available for one year following the completion of the call.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About CapsoVision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CapsoVision is a commercial-stage medical technology company focused on developing advanced imaging and AI-enabled solutions to transform the detection and screening of gastrointestinal diseases. Its flagship product, CapsoCam Plus®, is a wire-free, panoramic capsule endoscope that enables high-resolution visualization of the small bowel and supports cloud-based or direct capsule video retrieval. The Company’s next pipeline product, CapsoCam Colon™ with enhanced AI, is designed to enable non-invasive colon imaging and polyp detection. With a proprietary platform targeted to expand across multiple GI indications, including esophageal and pancreatic disorders, CapsoVision is advancing a new era in capsule-based diagnostics. For more information on CapsoVision, please visit www.capsovision.com.</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In this context, forward-looking statements mean statements related to future events, which may impact our expected future business and financial performance, and often contain words such as “expected”, “positioned”, “on track”, “anticipate(s)”, “intend(s)”, “plan(s)”, “believe(s)”, “potential”, “will”, “should”, “could”, “would”, “may”, “continue”, “remain”, “advancing”, “approach(ing)”, “planned”, “look forward”, or “target(ed)” and other words of similar meaning. Examples of these forward-looking statements include, but are not limited to, statements concerning possible or assumed future results of operations and financial position, including the Company’s expectations regarding the Company’s product and clinical development efforts, the timing and receipt of regulatory submissions and approvals , the Company’s plans, strategies and timing for its pipeline development (including the anticipated timing of FDA clearance of AI Highlights™ and its subsequent U.S. commercial launch, the continued development and anticipated 510(k) submission for CapsoCam Colon™, and the clinical study for CapsoCam® UGI in pancreatic cancer detection) and the success of the Company’s plans and strategies. These forward-looking statements are based on the Company’s current expectations and inherently involve significant risks and uncertainties, including those beyond the Company’s control. Actual results and the timing of events could differ materially from those anticipated in such forward-looking statements as a result of these risks and uncertainties, which include, without limitation, market conditions (including competition in the capsule endoscopy market), the Company’s financial condition and the availability of cash and financing (including through the Company’s at-the-market equity offering program), the success of the Company’s product and clinical development efforts, the failure to receive regulatory clearance or approval, changes in U.S. trade policies, tariffs or other government regulations that could increase the Company’s costs or affect the Company’s supply chain, and the failure to adapt the Company’s products for new indications. These and other risks and uncertainties are described more fully in the Company’s filings with the Securities and Exchange Commission (“SEC”), including the “Risk Factors” section of the Company’s most recent Form 10-K and Form 10-Q. Forward-looking statements speak only as of the date of this press release, and the Company undertakes no obligation to update or revise these statements, except as required by law.</w:t>
      </w: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Leigh Salvo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Street Investor Relations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Investors@CapsoVision.com</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Leslie Strickler and Paul Spicer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Être Communications</w:t>
      </w:r>
    </w:p>
    <w:p>
      <w:pPr>
        <w:pStyle w:val="TextBody"/>
        <w:bidi w:val="0"/>
        <w:spacing w:lineRule="auto" w:line="288" w:before="0" w:after="0"/>
        <w:jc w:val="left"/>
        <w:rPr/>
      </w:pPr>
      <w:r>
        <w:rPr>
          <w:rFonts w:ascii="Times New Roman;serif" w:hAnsi="Times New Roman;serif"/>
          <w:b w:val="false"/>
          <w:color w:val="000000"/>
          <w:sz w:val="20"/>
          <w:u w:val="single"/>
        </w:rPr>
        <w:t>leslies@etrecommunications.com</w:t>
      </w:r>
      <w:r>
        <w:rPr>
          <w:color w:val="000000"/>
        </w:rPr>
        <w:t xml:space="preserve"> </w:t>
      </w:r>
      <w:r>
        <w:rPr>
          <w:rFonts w:ascii="Times New Roman;serif" w:hAnsi="Times New Roman;serif"/>
          <w:b w:val="false"/>
          <w:color w:val="000000"/>
          <w:sz w:val="20"/>
        </w:rPr>
        <w:t>| (804) 240-0807</w:t>
      </w:r>
    </w:p>
    <w:p>
      <w:pPr>
        <w:pStyle w:val="TextBody"/>
        <w:bidi w:val="0"/>
        <w:spacing w:lineRule="auto" w:line="288" w:before="0" w:after="240"/>
        <w:jc w:val="left"/>
        <w:rPr/>
      </w:pPr>
      <w:r>
        <w:rPr>
          <w:rFonts w:ascii="Times New Roman;serif" w:hAnsi="Times New Roman;serif"/>
          <w:b w:val="false"/>
          <w:color w:val="000000"/>
          <w:sz w:val="20"/>
          <w:u w:val="single"/>
        </w:rPr>
        <w:t>pauls@etrecommunications.com</w:t>
      </w:r>
      <w:r>
        <w:rPr>
          <w:color w:val="000000"/>
        </w:rPr>
        <w:t xml:space="preserve"> </w:t>
      </w:r>
      <w:r>
        <w:rPr>
          <w:rFonts w:ascii="Times New Roman;serif" w:hAnsi="Times New Roman;serif"/>
          <w:b w:val="false"/>
          <w:color w:val="000000"/>
          <w:sz w:val="20"/>
        </w:rPr>
        <w:t>| (804) 503-9231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CAPSOVISION,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BALANCE SHEETS (UNAUDITED) </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(in thousands, except par value and share amounts)</w:t>
      </w:r>
    </w:p>
    <w:p>
      <w:pPr>
        <w:pStyle w:val="TextBody"/>
        <w:bidi w:val="0"/>
        <w:spacing w:before="0" w:after="240"/>
        <w:jc w:val="left"/>
        <w:rPr/>
      </w:pPr>
      <w:r>
        <w:rPr/>
      </w:r>
    </w:p>
    <w:tbl>
      <w:tblPr>
        <w:tblW w:w="7690" w:type="dxa"/>
        <w:jc w:val="left"/>
        <w:tblInd w:w="0" w:type="dxa"/>
        <w:tblLayout w:type="fixed"/>
        <w:tblCellMar>
          <w:top w:w="28" w:type="dxa"/>
          <w:left w:w="28" w:type="dxa"/>
          <w:bottom w:w="28" w:type="dxa"/>
          <w:right w:w="28" w:type="dxa"/>
        </w:tblCellMar>
      </w:tblPr>
      <w:tblGrid>
        <w:gridCol w:w="1562"/>
        <w:gridCol w:w="1375"/>
        <w:gridCol w:w="1383"/>
        <w:gridCol w:w="254"/>
        <w:gridCol w:w="889"/>
        <w:gridCol w:w="131"/>
        <w:gridCol w:w="109"/>
        <w:gridCol w:w="109"/>
        <w:gridCol w:w="109"/>
        <w:gridCol w:w="259"/>
        <w:gridCol w:w="906"/>
        <w:gridCol w:w="604"/>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7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60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60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4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17,280</w:t>
            </w:r>
            <w:r>
              <w:rPr>
                <w:color w:val="000000"/>
              </w:rPr>
              <w:t> </w:t>
            </w:r>
          </w:p>
        </w:tc>
        <w:tc>
          <w:tcPr>
            <w:tcW w:w="1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16,669</w:t>
            </w:r>
            <w:r>
              <w:rPr>
                <w:color w:val="000000"/>
              </w:rPr>
              <w:t> </w:t>
            </w:r>
          </w:p>
        </w:tc>
        <w:tc>
          <w:tcPr>
            <w:tcW w:w="60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60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54"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18,569</w:t>
            </w:r>
            <w:r>
              <w:rPr>
                <w:color w:val="000000"/>
              </w:rPr>
              <w:t> </w:t>
            </w:r>
          </w:p>
        </w:tc>
        <w:tc>
          <w:tcPr>
            <w:tcW w:w="131"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6"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18,164</w:t>
            </w:r>
            <w:r>
              <w:rPr>
                <w:color w:val="000000"/>
              </w:rPr>
              <w:t> </w:t>
            </w:r>
          </w:p>
        </w:tc>
        <w:tc>
          <w:tcPr>
            <w:tcW w:w="604"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60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4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5,158</w:t>
            </w:r>
            <w:r>
              <w:rPr>
                <w:color w:val="000000"/>
              </w:rPr>
              <w:t> </w:t>
            </w:r>
          </w:p>
        </w:tc>
        <w:tc>
          <w:tcPr>
            <w:tcW w:w="1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4,427</w:t>
            </w:r>
            <w:r>
              <w:rPr>
                <w:color w:val="000000"/>
              </w:rPr>
              <w:t> </w:t>
            </w:r>
          </w:p>
        </w:tc>
        <w:tc>
          <w:tcPr>
            <w:tcW w:w="60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4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5,403</w:t>
            </w:r>
            <w:r>
              <w:rPr>
                <w:color w:val="000000"/>
              </w:rPr>
              <w:t> </w:t>
            </w:r>
          </w:p>
        </w:tc>
        <w:tc>
          <w:tcPr>
            <w:tcW w:w="13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4,904</w:t>
            </w:r>
            <w:r>
              <w:rPr>
                <w:color w:val="000000"/>
              </w:rPr>
              <w:t> </w:t>
            </w:r>
          </w:p>
        </w:tc>
        <w:tc>
          <w:tcPr>
            <w:tcW w:w="60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 Note 8</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87"/>
        <w:gridCol w:w="2242"/>
        <w:gridCol w:w="2254"/>
        <w:gridCol w:w="211"/>
        <w:gridCol w:w="736"/>
        <w:gridCol w:w="109"/>
        <w:gridCol w:w="109"/>
        <w:gridCol w:w="109"/>
        <w:gridCol w:w="109"/>
        <w:gridCol w:w="211"/>
        <w:gridCol w:w="736"/>
        <w:gridCol w:w="492"/>
      </w:tblGrid>
      <w:tr>
        <w:trPr/>
        <w:tc>
          <w:tcPr>
            <w:tcW w:w="2887"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and none issued and outstanding as of June 30, 2026; 10,000,000 shares authorized and none issued and outstanding as of December 31, 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300,000,000 shares authorized as of June 30, 2026; 50,032,148 and 46,865,051 issued and outstanding as of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168,878 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(155,665)</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13,166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13,260</w:t>
            </w:r>
            <w:r>
              <w:rPr>
                <w:color w:val="000000"/>
              </w:rPr>
              <w:t> </w:t>
            </w:r>
          </w:p>
        </w:tc>
        <w:tc>
          <w:tcPr>
            <w:tcW w:w="49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18,569</w:t>
            </w:r>
            <w:r>
              <w:rPr>
                <w:color w:val="000000"/>
              </w:rPr>
              <w:t> </w:t>
            </w:r>
          </w:p>
        </w:tc>
        <w:tc>
          <w:tcPr>
            <w:tcW w:w="109"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18,164</w:t>
            </w:r>
            <w:r>
              <w:rPr>
                <w:color w:val="000000"/>
              </w:rPr>
              <w:t> </w:t>
            </w:r>
          </w:p>
        </w:tc>
        <w:tc>
          <w:tcPr>
            <w:tcW w:w="492" w:type="dxa"/>
            <w:tcBorders>
              <w:top w:val="single" w:sz="4" w:space="0" w:color="000000"/>
              <w:bottom w:val="double" w:sz="5"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CAPSOVISION, INC.</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9.2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 (UNAUDITED)</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(in thousands, except share and per-share amounts)</w:t>
      </w:r>
    </w:p>
    <w:tbl>
      <w:tblPr>
        <w:tblW w:w="10205" w:type="dxa"/>
        <w:jc w:val="left"/>
        <w:tblInd w:w="0" w:type="dxa"/>
        <w:tblLayout w:type="fixed"/>
        <w:tblCellMar>
          <w:top w:w="28" w:type="dxa"/>
          <w:left w:w="28" w:type="dxa"/>
          <w:bottom w:w="28" w:type="dxa"/>
          <w:right w:w="28" w:type="dxa"/>
        </w:tblCellMar>
      </w:tblPr>
      <w:tblGrid>
        <w:gridCol w:w="1637"/>
        <w:gridCol w:w="1403"/>
        <w:gridCol w:w="1280"/>
        <w:gridCol w:w="274"/>
        <w:gridCol w:w="822"/>
        <w:gridCol w:w="116"/>
        <w:gridCol w:w="116"/>
        <w:gridCol w:w="116"/>
        <w:gridCol w:w="116"/>
        <w:gridCol w:w="235"/>
        <w:gridCol w:w="766"/>
        <w:gridCol w:w="116"/>
        <w:gridCol w:w="203"/>
        <w:gridCol w:w="203"/>
        <w:gridCol w:w="109"/>
        <w:gridCol w:w="244"/>
        <w:gridCol w:w="852"/>
        <w:gridCol w:w="109"/>
        <w:gridCol w:w="109"/>
        <w:gridCol w:w="109"/>
        <w:gridCol w:w="109"/>
        <w:gridCol w:w="211"/>
        <w:gridCol w:w="790"/>
        <w:gridCol w:w="160"/>
      </w:tblGrid>
      <w:tr>
        <w:trPr/>
        <w:tc>
          <w:tcPr>
            <w:tcW w:w="163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of revenue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2,793</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9,451</w:t>
            </w:r>
            <w:r>
              <w:rPr>
                <w:color w:val="000000"/>
              </w:rPr>
              <w:t> </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6,462</w:t>
            </w:r>
            <w:r>
              <w:rPr>
                <w:color w:val="000000"/>
              </w:rPr>
              <w:t> </w:t>
            </w:r>
          </w:p>
        </w:tc>
        <w:tc>
          <w:tcPr>
            <w:tcW w:w="1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17,873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13,338</w:t>
            </w:r>
            <w:r>
              <w:rPr>
                <w:color w:val="000000"/>
              </w:rPr>
              <w:t> </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(7,580)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(4,651)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NON-OPERATING INCOME</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 net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non-operating income, net</w:t>
            </w:r>
          </w:p>
        </w:tc>
        <w:tc>
          <w:tcPr>
            <w:tcW w:w="109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w:t>
            </w:r>
            <w:r>
              <w:rPr>
                <w:color w:val="000000"/>
              </w:rPr>
              <w:t>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w:t>
            </w:r>
            <w:r>
              <w:rPr>
                <w:color w:val="000000"/>
              </w:rPr>
              <w:t> </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w:t>
            </w:r>
            <w:r>
              <w:rPr>
                <w:color w:val="000000"/>
              </w:rPr>
              <w:t>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(7,481)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and comprehensive loss</w:t>
            </w:r>
          </w:p>
        </w:tc>
        <w:tc>
          <w:tcPr>
            <w:tcW w:w="2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(7,481)</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(4,625)</w:t>
            </w:r>
          </w:p>
        </w:tc>
        <w:tc>
          <w:tcPr>
            <w:tcW w:w="1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(14,514)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(10,000)</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loss per share – basic and diluted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 – basic and diluted</w:t>
            </w:r>
          </w:p>
        </w:tc>
        <w:tc>
          <w:tcPr>
            <w:tcW w:w="109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49,937,525</w:t>
            </w:r>
            <w:r>
              <w:rPr>
                <w:color w:val="000000"/>
              </w:rPr>
              <w:t>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2,292,230</w:t>
            </w:r>
            <w:r>
              <w:rPr>
                <w:color w:val="000000"/>
              </w:rPr>
              <w:t>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48,704,069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2,225,301</w:t>
            </w:r>
            <w:r>
              <w:rPr>
                <w:color w:val="000000"/>
              </w:rPr>
              <w:t> </w:t>
            </w:r>
          </w:p>
        </w:tc>
        <w:tc>
          <w:tcPr>
            <w:tcW w:w="1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CAPSOVISION, INC.</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9.2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 (UNAUDITED)</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(in thousands)</w:t>
      </w:r>
    </w:p>
    <w:tbl>
      <w:tblPr>
        <w:tblW w:w="9001" w:type="dxa"/>
        <w:jc w:val="left"/>
        <w:tblInd w:w="0" w:type="dxa"/>
        <w:tblLayout w:type="fixed"/>
        <w:tblCellMar>
          <w:top w:w="28" w:type="dxa"/>
          <w:left w:w="28" w:type="dxa"/>
          <w:bottom w:w="28" w:type="dxa"/>
          <w:right w:w="28" w:type="dxa"/>
        </w:tblCellMar>
      </w:tblPr>
      <w:tblGrid>
        <w:gridCol w:w="2197"/>
        <w:gridCol w:w="1929"/>
        <w:gridCol w:w="1934"/>
        <w:gridCol w:w="211"/>
        <w:gridCol w:w="796"/>
        <w:gridCol w:w="109"/>
        <w:gridCol w:w="109"/>
        <w:gridCol w:w="109"/>
        <w:gridCol w:w="109"/>
        <w:gridCol w:w="211"/>
        <w:gridCol w:w="796"/>
        <w:gridCol w:w="491"/>
      </w:tblGrid>
      <w:tr>
        <w:trPr/>
        <w:tc>
          <w:tcPr>
            <w:tcW w:w="2197"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losses (gains)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(14,469)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(9,512)</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investing activities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(70)</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promissory note issuance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Private Placement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Private Placement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constructive dividend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exercises of options on common stock and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13,509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1,202</w:t>
            </w:r>
            <w:r>
              <w:rPr>
                <w:color w:val="000000"/>
              </w:rPr>
              <w:t>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(8,380)</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9,319</w:t>
            </w: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9,077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1,066</w:t>
            </w:r>
            <w:r>
              <w:rPr>
                <w:color w:val="000000"/>
              </w:rPr>
              <w:t>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28100</Words>
  <Characters>148916</Characters>
  <CharactersWithSpaces>177022</CharactersWithSpaces>
  <Paragraphs>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