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333-298315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(To Prospectus dated August 21, 2026) </w:t>
      </w:r>
    </w:p>
    <w:p>
      <w:pPr>
        <w:pStyle w:val="TextBody"/>
        <w:bidi w:val="0"/>
        <w:spacing w:before="0" w:after="180"/>
        <w:jc w:val="center"/>
        <w:rPr/>
      </w:pPr>
      <w:r>
        <w:rPr/>
        <w:drawing>
          <wp:inline distT="0" distB="0" distL="0" distR="0">
            <wp:extent cx="1676400" cy="82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8286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3,163,444 Shares of Common Stock  </w:t>
      </w:r>
    </w:p>
    <w:p>
      <w:pPr>
        <w:pStyle w:val="TextBody"/>
        <w:bidi w:val="0"/>
        <w:spacing w:before="0" w:after="180"/>
        <w:jc w:val="left"/>
        <w:rPr/>
      </w:pPr>
      <w:r>
        <w:rPr/>
      </w:r>
    </w:p>
    <w:p>
      <w:pPr>
        <w:pStyle w:val="TextBody"/>
        <w:bidi w:val="0"/>
        <w:spacing w:lineRule="auto" w:line="288" w:before="0" w:after="180"/>
        <w:jc w:val="left"/>
        <w:rPr/>
      </w:pPr>
      <w:r>
        <w:rPr>
          <w:rFonts w:ascii="Times New Roman;serif" w:hAnsi="Times New Roman;serif"/>
          <w:b w:val="false"/>
          <w:color w:val="000000"/>
          <w:sz w:val="20"/>
        </w:rPr>
        <w:t>We are offering 3,163,444 shares of our common stock, par value $0.001 per share, under this prospectus supplement directly to a number of investors (collectively, the “Investors”), including Star One Global Capital Limited and Eliyahou Harari at a price of $5.69 per share pursuant to a securities purchase agreement, dated September 17, 2026 (the “Securities Purchase Agreement”). The closing of this offering is expected to occur on or about September 18, 2026.</w:t>
      </w:r>
      <w:r>
        <w:rPr>
          <w:strike/>
          <w:color w:val="000000"/>
        </w:rPr>
        <w:t xml:space="preserv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of the Investors is an existing stockholder of ours, and Star One Global Capital Limited (wholly-owned by Ching-Hang Shen) and Eliyahou Harari are participating in related person transactions by reason of Ching-Hang Shen’s and Eliyahou Harari’s beneficial ownership of more than 5% of our outstanding common stock, and the offering price of $5.69 per share represents a discount of approximately 5% to the last reported sale price of our common stock on The Nasdaq Capital Market on September 16, 2026. See “Plan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offering is being made without an underwriter or a placement agent and we are not paying underwriting discounts or commissions. Accordingly, the aggregate proceeds to us, before expenses, will be approximately $18,000,000. We estimate the net proceeds of this offering to us will be approximately $17,834,500, after deducting estimated offering expenses payable by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under the symbol “CV.” On September 16, 2026, the last reported sale price of our common stock on The Nasdaq Capital Market was $5.99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180"/>
        <w:jc w:val="left"/>
        <w:rPr/>
      </w:pPr>
      <w:r>
        <w:rPr>
          <w:rFonts w:ascii="Times New Roman;serif" w:hAnsi="Times New Roman;serif"/>
          <w:b/>
          <w:color w:val="000000"/>
          <w:sz w:val="20"/>
        </w:rPr>
        <w:t>Investing in our common stock involves a high degree of risk. Please read carefully the section entitled “</w:t>
      </w:r>
      <w:hyperlink w:anchor="i620ea550491142a797d2b0231c8d515e_19">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620ea550491142a797d2b0231c8d515e_19">
        <w:r>
          <w:rPr>
            <w:rStyle w:val="InternetLink"/>
            <w:rFonts w:ascii="Times New Roman;serif" w:hAnsi="Times New Roman;serif"/>
            <w:b/>
            <w:color w:val="0000FF"/>
            <w:sz w:val="20"/>
            <w:u w:val="single"/>
          </w:rPr>
          <w:t>S-8</w:t>
        </w:r>
      </w:hyperlink>
      <w:r>
        <w:rPr>
          <w:color w:val="000000"/>
        </w:rPr>
        <w:t xml:space="preserve"> </w:t>
      </w:r>
      <w:r>
        <w:rPr>
          <w:rFonts w:ascii="Times New Roman;serif" w:hAnsi="Times New Roman;serif"/>
          <w:b/>
          <w:color w:val="000000"/>
          <w:sz w:val="20"/>
        </w:rPr>
        <w:t>of this prospectus supplement and the “Risk Factors” section contained in the documents incorporated by reference in this prospectus supplement and the accompanying prospectus before investing in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 securities to be offered under this prospectus supplement or determined if this prospectus supplement or the accompanying prospectus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supplement is September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6854" w:type="dxa"/>
        <w:jc w:val="center"/>
        <w:tblInd w:w="0" w:type="dxa"/>
        <w:tblLayout w:type="fixed"/>
        <w:tblCellMar>
          <w:top w:w="28" w:type="dxa"/>
          <w:left w:w="28" w:type="dxa"/>
          <w:bottom w:w="28" w:type="dxa"/>
          <w:right w:w="28" w:type="dxa"/>
        </w:tblCellMar>
      </w:tblPr>
      <w:tblGrid>
        <w:gridCol w:w="2294"/>
        <w:gridCol w:w="2016"/>
        <w:gridCol w:w="2019"/>
        <w:gridCol w:w="153"/>
        <w:gridCol w:w="153"/>
        <w:gridCol w:w="219"/>
      </w:tblGrid>
      <w:tr>
        <w:trPr/>
        <w:tc>
          <w:tcPr>
            <w:tcW w:w="229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620ea550491142a797d2b0231c8d515e_7">
              <w:r>
                <w:rPr>
                  <w:rStyle w:val="InternetLink"/>
                  <w:rFonts w:ascii="Times New Roman;serif" w:hAnsi="Times New Roman;serif"/>
                  <w:b w:val="false"/>
                  <w:color w:val="0000FF"/>
                  <w:sz w:val="20"/>
                  <w:u w:val="single"/>
                </w:rPr>
                <w:t>S-1</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10">
              <w:r>
                <w:rPr>
                  <w:rStyle w:val="InternetLink"/>
                  <w:rFonts w:ascii="Times New Roman;serif" w:hAnsi="Times New Roman;serif"/>
                  <w:b w:val="false"/>
                  <w:color w:val="0000FF"/>
                  <w:sz w:val="20"/>
                  <w:u w:val="single"/>
                </w:rPr>
                <w:t>CAUTIONARY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10">
              <w:r>
                <w:rPr>
                  <w:rStyle w:val="InternetLink"/>
                  <w:rFonts w:ascii="Times New Roman;serif" w:hAnsi="Times New Roman;serif"/>
                  <w:b w:val="false"/>
                  <w:color w:val="0000FF"/>
                  <w:sz w:val="20"/>
                  <w:u w:val="single"/>
                </w:rPr>
                <w:t>S-3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13">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13">
              <w:r>
                <w:rPr>
                  <w:rStyle w:val="InternetLink"/>
                  <w:rFonts w:ascii="Times New Roman;serif" w:hAnsi="Times New Roman;serif"/>
                  <w:b w:val="false"/>
                  <w:color w:val="0000FF"/>
                  <w:sz w:val="20"/>
                  <w:u w:val="single"/>
                </w:rPr>
                <w:t>S-5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16">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16">
              <w:r>
                <w:rPr>
                  <w:rStyle w:val="InternetLink"/>
                  <w:rFonts w:ascii="Times New Roman;serif" w:hAnsi="Times New Roman;serif"/>
                  <w:b w:val="false"/>
                  <w:color w:val="0000FF"/>
                  <w:sz w:val="20"/>
                  <w:u w:val="single"/>
                </w:rPr>
                <w:t>S-7</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19">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19">
              <w:r>
                <w:rPr>
                  <w:rStyle w:val="InternetLink"/>
                  <w:rFonts w:ascii="Times New Roman;serif" w:hAnsi="Times New Roman;serif"/>
                  <w:b w:val="false"/>
                  <w:color w:val="0000FF"/>
                  <w:sz w:val="20"/>
                  <w:u w:val="single"/>
                </w:rPr>
                <w:t>S-8</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22">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22">
              <w:r>
                <w:rPr>
                  <w:rStyle w:val="InternetLink"/>
                  <w:rFonts w:ascii="Times New Roman;serif" w:hAnsi="Times New Roman;serif"/>
                  <w:b w:val="false"/>
                  <w:color w:val="0000FF"/>
                  <w:sz w:val="20"/>
                  <w:u w:val="single"/>
                </w:rPr>
                <w:t>S-12</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25">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25">
              <w:r>
                <w:rPr>
                  <w:rStyle w:val="InternetLink"/>
                  <w:rFonts w:ascii="Times New Roman;serif" w:hAnsi="Times New Roman;serif"/>
                  <w:b w:val="false"/>
                  <w:color w:val="0000FF"/>
                  <w:sz w:val="20"/>
                  <w:u w:val="single"/>
                </w:rPr>
                <w:t>S-13</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28">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28">
              <w:r>
                <w:rPr>
                  <w:rStyle w:val="InternetLink"/>
                  <w:rFonts w:ascii="Times New Roman;serif" w:hAnsi="Times New Roman;serif"/>
                  <w:b w:val="false"/>
                  <w:color w:val="0000FF"/>
                  <w:sz w:val="20"/>
                  <w:u w:val="single"/>
                </w:rPr>
                <w:t>S-14</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31">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31">
              <w:r>
                <w:rPr>
                  <w:rStyle w:val="InternetLink"/>
                  <w:rFonts w:ascii="Times New Roman;serif" w:hAnsi="Times New Roman;serif"/>
                  <w:b w:val="false"/>
                  <w:color w:val="0000FF"/>
                  <w:sz w:val="20"/>
                  <w:u w:val="single"/>
                </w:rPr>
                <w:t>S-15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34">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34">
              <w:r>
                <w:rPr>
                  <w:rStyle w:val="InternetLink"/>
                  <w:rFonts w:ascii="Times New Roman;serif" w:hAnsi="Times New Roman;serif"/>
                  <w:b w:val="false"/>
                  <w:color w:val="0000FF"/>
                  <w:sz w:val="20"/>
                  <w:u w:val="single"/>
                </w:rPr>
                <w:t>S-15</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37">
              <w:r>
                <w:rPr>
                  <w:rStyle w:val="InternetLink"/>
                  <w:rFonts w:ascii="Times New Roman;serif" w:hAnsi="Times New Roman;serif"/>
                  <w:b w:val="false"/>
                  <w:color w:val="0000FF"/>
                  <w:sz w:val="20"/>
                  <w:u w:val="single"/>
                </w:rPr>
                <w:t>WHERE YOU CAN FIND ADDITIONAL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37">
              <w:r>
                <w:rPr>
                  <w:rStyle w:val="InternetLink"/>
                  <w:rFonts w:ascii="Times New Roman;serif" w:hAnsi="Times New Roman;serif"/>
                  <w:b w:val="false"/>
                  <w:color w:val="0000FF"/>
                  <w:sz w:val="20"/>
                  <w:u w:val="single"/>
                </w:rPr>
                <w:t>S-16</w:t>
              </w:r>
            </w:hyperlink>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40">
              <w:r>
                <w:rPr>
                  <w:rStyle w:val="InternetLink"/>
                  <w:rFonts w:ascii="Times New Roman;serif" w:hAnsi="Times New Roman;serif"/>
                  <w:b w:val="false"/>
                  <w:color w:val="0000FF"/>
                  <w:sz w:val="20"/>
                  <w:u w:val="single"/>
                </w:rPr>
                <w:t>INFORMATION WE INCORPORATE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40">
              <w:r>
                <w:rPr>
                  <w:rStyle w:val="InternetLink"/>
                  <w:rFonts w:ascii="Times New Roman;serif" w:hAnsi="Times New Roman;serif"/>
                  <w:b w:val="false"/>
                  <w:color w:val="0000FF"/>
                  <w:sz w:val="20"/>
                  <w:u w:val="single"/>
                </w:rPr>
                <w:t>S-17</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6841" w:type="dxa"/>
        <w:jc w:val="left"/>
        <w:tblInd w:w="0" w:type="dxa"/>
        <w:tblLayout w:type="fixed"/>
        <w:tblCellMar>
          <w:top w:w="28" w:type="dxa"/>
          <w:left w:w="28" w:type="dxa"/>
          <w:bottom w:w="28" w:type="dxa"/>
          <w:right w:w="28" w:type="dxa"/>
        </w:tblCellMar>
      </w:tblPr>
      <w:tblGrid>
        <w:gridCol w:w="2292"/>
        <w:gridCol w:w="2016"/>
        <w:gridCol w:w="2022"/>
        <w:gridCol w:w="149"/>
        <w:gridCol w:w="149"/>
        <w:gridCol w:w="213"/>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49">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49">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2">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2">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5">
              <w:r>
                <w:rPr>
                  <w:rStyle w:val="InternetLink"/>
                  <w:rFonts w:ascii="Times New Roman;serif" w:hAnsi="Times New Roman;serif"/>
                  <w:b w:val="false"/>
                  <w:color w:val="0000FF"/>
                  <w:sz w:val="20"/>
                  <w:u w:val="single"/>
                </w:rPr>
                <w:t>INFORMATION WE INCORPORATE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5">
              <w:r>
                <w:rPr>
                  <w:rStyle w:val="InternetLink"/>
                  <w:rFonts w:ascii="Times New Roman;serif" w:hAnsi="Times New Roman;serif"/>
                  <w:b w:val="false"/>
                  <w:color w:val="0000FF"/>
                  <w:sz w:val="20"/>
                  <w:u w:val="single"/>
                </w:rPr>
                <w:t>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8">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8">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1">
              <w:r>
                <w:rPr>
                  <w:rStyle w:val="InternetLink"/>
                  <w:rFonts w:ascii="Times New Roman;serif" w:hAnsi="Times New Roman;serif"/>
                  <w:b w:val="false"/>
                  <w:color w:val="0000FF"/>
                  <w:sz w:val="20"/>
                  <w:u w:val="single"/>
                </w:rPr>
                <w:t>ABOUT CAPSOVISION,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1">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4">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7">
              <w:r>
                <w:rPr>
                  <w:rStyle w:val="InternetLink"/>
                  <w:rFonts w:ascii="Times New Roman;serif" w:hAnsi="Times New Roman;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0">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0">
              <w:r>
                <w:rPr>
                  <w:rStyle w:val="InternetLink"/>
                  <w:rFonts w:ascii="Times New Roman;serif" w:hAnsi="Times New Roman;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3">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3">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6">
              <w:r>
                <w:rPr>
                  <w:rStyle w:val="InternetLink"/>
                  <w:rFonts w:ascii="Times New Roman;serif" w:hAnsi="Times New Roman;serif"/>
                  <w:b w:val="false"/>
                  <w:color w:val="0000FF"/>
                  <w:sz w:val="20"/>
                  <w:u w:val="single"/>
                </w:rPr>
                <w:t>DESCRIPTION OF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6">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9">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9">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2">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5">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5">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8">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8">
              <w:r>
                <w:rPr>
                  <w:rStyle w:val="InternetLink"/>
                  <w:rFonts w:ascii="Times New Roman;serif" w:hAnsi="Times New Roman;serif"/>
                  <w:b w:val="false"/>
                  <w:color w:val="0000FF"/>
                  <w:sz w:val="20"/>
                  <w:u w:val="singl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This prospectus supplement and the accompanying prospectus are part of a registration statement that we filed with the Securities and Exchange Commission, or the SEC, utilizing a “shelf” registration process on August 13, 2026, which the SEC declared effective on August 21, 2026. Under the shelf registration process, we may from time to time offer shares of our common stock, preferred stock, warrants, rights and units having an aggregate offering price of up to $250,000,000 at prices and on terms to be determined by market conditions at the time of offering. If the information contained or incorporated by reference in this prospectus supplement differs or varies from the information contained in the accompanying prospectus or in any document incorporated by reference that was filed with the SEC before the date of this prospectus supplement, you should rely on the information set forth in this prospectus supplement. In general, when we refer to the prospectus, we are referring to both the prospectus supplement and the accompanying prospectus combined.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the information contained or incorporated by reference in this prospectus supplement, the accompanying prospectus and in any free writing prospectus we may provide to you in connection with this offering. We have not authorized any other person to provide you with any information that is different. If anyone provides you with different or inconsistent information, you should not rely on it. We are offering to sell, and seeking offers to buy, our securities only in jurisdictions where offers and sales are permitted. The distribution of this prospectus supplement and the offering of the securities in certain jurisdictions may be restricted by law. No action is being taken in any jurisdiction outside the United States to permit a public offering of our common stock or possession or distribution of this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Additional Information” and “Information We Incorporate by Reference” in this prospectus supplement and in the accompanying prospectus, before investing in our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prospectus supplement, unless the context otherwise indicates, the terms “CapsoVision,” the “Company,” “we,” “our” and “us” or similar terms refer to CapsoVision, Inc. When we refer to “you,” we mean prospective investors in our common stock.</w:t>
      </w:r>
    </w:p>
    <w:p>
      <w:pPr>
        <w:pStyle w:val="TextBody"/>
        <w:bidi w:val="0"/>
        <w:spacing w:lineRule="auto" w:line="288" w:before="0" w:after="180"/>
        <w:jc w:val="left"/>
        <w:rPr/>
      </w:pPr>
      <w:r>
        <w:rPr>
          <w:rFonts w:ascii="Times New Roman;serif" w:hAnsi="Times New Roman;serif"/>
          <w:b w:val="false"/>
          <w:color w:val="000000"/>
          <w:sz w:val="20"/>
        </w:rPr>
        <w:t xml:space="preserve">This prospectus supplement and the accompanying prospectus and the documents incorporated herein and therein by reference include trademarks, service marks and trade names owned by us or other companies. All trademarks, service marks and trade names included or incorporated by reference into this prospectus supplement or the accompanying prospectus are the property of their respective owners. Solely for convenience, trademarks and trade names referred to in this prospectus supplement or the accompanying prospectus, including logos, artwork and other visual displays, may appear without the ® or </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symbols, but such references are not intended to indicate, in </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and the documents incorporated herein and therein by reference include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In some cases, we do not expressly refer to the sources from which this data is derived. Management estimates are derived from publicly available information released by independent industry analysts and third-party sources, as well as data from our internal research, and are based on assumptions made by us upon reviewing such data and our knowledge of such industry and markets which we believe to be reasonable. In presenting this information, we have made certain assumptions that we believe to be reasonable based on such data and other similar sources and on our knowledge of, and our experience to date in, the markets for the products we distribute. We have not independently verified any of the data from third-party sources, nor have we ascertained the underlying economic assumptions relied upon therein. We believe these sources are reliable and that our estimates have a reasonable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the documents incorporated by reference herein and therein, and other written and oral statements we make from time to time may contain “forward-looking statements” within the meaning of Section 27A of the Securities Act of 1933, as amended (the “Securities Act”), and Section 21E of the Securities Exchange Act of 1934, as amended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supplement, the accompanying prospectus or the applicable document incorporated by reference, as applicable.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acceptance of our products by patients and doctors;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for submission of 510(k) application for our second generation of CapsoCam Colon capsule;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receipt of and related timing for FDA 510(k) clearance of our CapsoCam Colon capsule and related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and enrollment size of our study of the CapsoCam UGI system and our expected resubmission of the Breakthrough Device Designation application following the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plans and efforts to expand into new indications in terms of new GI pathologies and expanded patient populations;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strategic plan for our business and products and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and capabilities of, our assembly manufacturers and component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expected performance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use of proceeds from this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discussed in “Risk Factors” in this prospectus supplement and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an evolving environment. New risk factors and uncertainties may emerge from time to time, and it is not possible for management to predict all risk factors and uncertainties. We caution you that the forward-looking statements in this prospectus supplement, the accompanying prospectus and the documents incorporated by reference herein and therein, are made only as of their respective dates. These statements are inherently uncertain, and investors are cautioned not to unduly rely upon these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required by applicable law, we do not plan to publicly update or revise any forward-looking statements contained or incorporated by reference herein, whether as a result of any new information, future events, changed circumstances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supplement, including the accompanying prospectus and the documents incorporated by reference herein and therein,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SUPPLEMENT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contained elsewhere in this prospectus supplement, the accompanying prospectus and in the documents we incorporate by reference. This summary is not complete and does not contain all of the information you should consider before making an investment decision. You should read the entire prospectus supplement, the accompanying prospectus, and the documents incorporated by reference herein and therein carefully, including “Risk Factors,” and our financial statements and related notes incorporated by reference in this prospectus supplement and the accompanying prospectus.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Business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CapsoVision, Inc. is a global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Currently, our GI-tract capsule endoscopy solution comprises our single-use CapsoCam capsule and the associated software, CapsoCloud and CapsoView. The CapsoCam capsule, with its panoramic view, acquires and stores video images in onboard memory while moving through the GI tract and the software component allows healthcare providers to view the video retrieved from the capsule by either streaming it from the cloud, where it is securely stored, anywhere at their convenience using our CapsoCloud software or downloading data from the capsule themselves and reviewing it in our CapsoView software. Our first U.S. Food and Drug Administration (“FDA”) cleared capsule endoscopy is our small bowel capsule (the current generation of which we refer to as CapsoCam Plus), for which we received a CE Mark in 2011 and began commercial sales in Europe in 2012, subsequent to which we received 510(k) clearance in 2016 and began commercial sales in the U.S. in 2017. CapsoCam Plus is classified as a Class II device and is used to visualize the small bowel mucosa to detect abnormalities of the small bowel in adults and children aged 2 years and above. As of June 30, 2026, our CapsoCam Plus has been used in more than 176,000 patients. For the six months ended June 30, 2026 and 2025, we generated approximately $6.4 million and $6.1 million, respectively, primarily in revenue from sales of CapsoCam Plus, an increase of approximately 6% over the prior period. For the years ended December 31, 2025 and 2024, we generated approximately $13.6 million and $11.8 million, respectively, primarily in revenue from sales of CapsoCam Plus, an increase of approximately 15% over the prior year. Our revenue has increased in each year since we began U.S. direct sales in 2020, primarily driven by an increase in the number of CapsoCam Plus capsules sold. We are in the process of updating CapsoCam Plus to add our self-developed AI assisted pathology detection technology. We made the related FDA 510(k) submission in December 2025. In response to the FDA's feedback, we submitted a proposal to the FDA in April 2026. As further requested by the FDA, we conducted further analysis of the study data and submitted the analysis to the FDA at the end of August 2026. We anticipate obtaining FDA clearance by the end of the third quarter of 2026, with commercialization planned to begin in the U.S. shortly thereafter. We also made the initial EU submission in January 2026 and submitted the related technical documents in July 2026. As of August 13, 2026, we had commercialized the AI assisted CapsoCam Plus in the EU. Our AI assisted pathology detection tools detect and highlight suspected abnormalities for a clinician, reducing their time to review a capsule video and making capsule endoscopy more financially attractive to their practice.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Building upon the commercial success and the existing design of our CapsoCam Plus capsule, we developed our next pipeline capsule endoscope, CapsoCam Colon. Our CapsoCam Colon capsule (i) leverages CapsoCam Plus’s existing capsule design with its panoramic view and (ii) incorporates both our self-developed AI to automatically detect polyps in the video and our polyp-size measurement tool enabled by a 3D sensor in the capsule (polyp size being highly correlated with a polyp’s risk of becoming cancer). We submitted the 510(k) application for our first generation CapsoCam Colon capsule to the FDA in June 2025 and received responses from the FDA in September 2025. During our meeting with the FDA in December 2025, the FDA raised inquiries on topics including panoramic image processing methodology, and the proposed study design, sample size and primary endpoint for an extended study. Based on our communications with the FDA, we have decided not to further pursue the first generation CapsoCam Colon capsule submission and approval, and to prioritize our resources for the development of our second generation CapsoCam Colon capsule, featuring improved imaging quality and increased field of view with use of AI and improved lenses. We also expanded a second arm pivotal study to enroll approximately 800 patients at </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up to 20 sites in the U.S. in preparation for submitting a new 510(k) application for the second generation CapsoCam Colon capsule. As of August 13, 2026, we had completed the enrollment process of the second arm pivotal study with 801 patients enrolled. We currently expect to submit the 510(k) application for the second generation CapsoCam Colon capsule to the FDA in the fourth quarter of 2026, subject to any further requests from the FDA. The CapsoCam Colon would be classified as a Class II device. Additionally, we intend to seek EU approval and commercialization for the second generation CapsoCam Colon capsule shortly after the FDA clearance. There is no guarantee that the clinical results of any of our clinical trials will demonstrate the requisite performance needed to meet applicable regulatory requirements in order to obtain FDA clearance. Further, FDA review of our 510(k) submissions may be delayed and we may not receive 510(k) clearances from the FDA on a timely basis or at all.</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currently sell CapsoCam Plus capsules in the U.S. to our customers, which primarily include gastroenterologists practicing in clinics and/or hospitals, primarily through our in-house sales team. Outside the U.S., we sell CapsoCam Plus through a combination of our in-house sales team and qualified distributors. In 2025 and 2024, international sales accounted for 21% and 23% of total revenue.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our GI-tract capsule endoscopy solution is positioned to benefit from (i) our existing sales and marketing structure (with our in-house sales team and marketing team targeting sales of our various approved GI tract diagnostic products to the same target customer base), (ii) technological advancements (including improvements to our proprietary AI and other technologies and third-party supplier improvements in optics and storage capacity) and (iii) increased telemedicine adoption (following FDA clearance in December 2024 of remote ingestion of our CapsoCam Plus). We also believe our solution can be adapted to address new GI indications. Potential new medical indications include pancreatic cancer and esophageal medical conditions (such as esophageal varices and Barrett’s esophagus). In connection with our efforts to address pancreatic cancer, we submitted an application for FDA “Breakthrough Device Designation” for our capsule endoscopy solution on November 6, 2025. A response from FDA in January 2026 determined that the CapsoCam UGI, our capsule endoscopy system for use in early-stage pancreatic cancer detection, does allow for visualization of the papilla and its abnormalities, for both pre-cancerous and cancerous lesions. Due to the fact that the device does not specifically define diagnostic criteria, the application was not approved. Following the FDA’s response, we initiated a study for early pancreatic cancer detection using the CapsoCam UGI system in May 2026. This study will build on established scientific literature and engage leading opinion leaders, including leadership of leading societies in the pancreatobiliary field, to define malignancy diagnosis criteria with the device. This study is expected to enroll up to 140 patients using the CapsoCam UGI system. As of the date of this prospectus supplement, three patients have been enrolled in this study. The study continues and we are working on expanding the number of clinical sites participating in the study. The Company expects to resubmit the Breakthrough Device Designation application following the study, when additional data is available. The breakthrough designation is a part of the on-going project, potentially supplementing the regulatory pathway and approval for early pancreatic cancer detection. We plan to commence clinical studies of CapsoCam’s accuracy in screening esophageal varices (i.e. enlarged blood veins in the esophagus) in cirrhotic patients with portal hypertension in the second half of 2027 subject to timely availability of sufficient funding and liquidity and/or potential adjustment of our clinical development priorities.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 xml:space="preserve">Corporate Information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principal executive office is located at 18805 Cox Avenue, Suite 250, Saratoga, California 95070, our telephone number is (408) 624-1488, and our website is www.capsovision.com. The information contained on or that can be accessed through our website does not constitute part of this prospectus supplement,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990"/>
        <w:gridCol w:w="676"/>
        <w:gridCol w:w="681"/>
        <w:gridCol w:w="2341"/>
        <w:gridCol w:w="2285"/>
        <w:gridCol w:w="3232"/>
      </w:tblGrid>
      <w:tr>
        <w:trPr/>
        <w:tc>
          <w:tcPr>
            <w:tcW w:w="99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3232"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Issuer</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CapsoVision, Inc.</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Offered By Us</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3,163,444 shares of our common stock</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Common Stock to be Outstanding Immediately After this Offering</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53,195,592 shares of our common stock</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Use of Proceeds</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use the net proceeds from the sale of common stock offered under this prospectus supplement for general corporate purposes, including sales and marketing, research and development activities, general and administrative matters and working capital.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specific use of net proceeds as described in this prospectus supplement, we intend to invest the net proceeds to us from this offering in money market funds. See “Use of Proceeds.” </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Nasdaq Capital Market Symbol</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CV”</w:t>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Risk Factors</w:t>
            </w:r>
            <w:r>
              <w:rPr>
                <w:color w:val="000000"/>
              </w:rPr>
              <w:t xml:space="preserve"> </w:t>
            </w:r>
          </w:p>
        </w:tc>
        <w:tc>
          <w:tcPr>
            <w:tcW w:w="78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common stock involves a high degree of risk. See “</w:t>
            </w:r>
            <w:hyperlink w:anchor="i620ea550491142a797d2b0231c8d515e_19">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620ea550491142a797d2b0231c8d515e_19">
              <w:r>
                <w:rPr>
                  <w:rStyle w:val="InternetLink"/>
                  <w:rFonts w:ascii="Times New Roman;serif" w:hAnsi="Times New Roman;serif"/>
                  <w:b w:val="false"/>
                  <w:color w:val="0000FF"/>
                  <w:sz w:val="20"/>
                  <w:u w:val="single"/>
                </w:rPr>
                <w:t>S-8</w:t>
              </w:r>
            </w:hyperlink>
            <w:r>
              <w:rPr>
                <w:color w:val="000000"/>
              </w:rPr>
              <w:t xml:space="preserve"> </w:t>
            </w:r>
            <w:r>
              <w:rPr>
                <w:rFonts w:ascii="Times New Roman;serif" w:hAnsi="Times New Roman;serif"/>
                <w:b w:val="false"/>
                <w:color w:val="000000"/>
                <w:sz w:val="20"/>
              </w:rPr>
              <w:t>of this prospectus supplement and in the documents incorporated by reference into this prospectus supplement for a discussion of certain factors to consider carefully before deciding to purchase any shares of our common stock.</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shares of our common stock to be outstanding after this offering is based on 50,032,148 shares of our common stock outstanding as of June 30, 2026, and excludes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3,734,268 shares of our common stock issuable upon the exercise of outstanding stock options as of June 30, 2026, with a weighted-average exercise price of $4.53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149,953 shares of our common stock issued after June 30, 2026 pursuant to the at-the-market program pursuant to the sales agreement dated, August 13, 2026 (the “ATM Sales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deciding to invest in our common stock, you should carefully consider the risks and uncertainties described below together with all of the other information contained in this prospectus supplement, the accompanying prospectus and the documents incorporated by reference herein and therein, including the risks described in “Item 1A. Risk Factors” of our most recent Annual Report on Form 10-K and “Part II, Item 1A. Risk Factors” of our subsequent Quarterly Reports on Form 10-Q filed with the SEC, as such risk factors may be amended, supplemented or superseded from time to time by other reports we file with the SEC, including subsequent Annual Reports on Form 10-K and Quarterly Reports on Form 10-Q. If any of these risks actually occur, our business, prospects, operating results and financial condition could suffer materially. In such event, the trading price of our common stock could decline and you might lose all or part of your investment.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an “emerging growth company,” as defined in the JOBS Act. We will remain an “emerging growth company” until the earliest to occur 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during which our total annual revenue equals or exceeds $1.235 billion (subject to adjustment for inflation);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last day of the fiscal year following the fifth anniversary of our IPO;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have, during the previous three-year period, issued more than $1 billion in non-convertible debt;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we are deemed to be a “large accelerated filer” under the Exchange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of our “emerging growth company” status, we may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also a “smaller reporting company.” Subject to the applicable determination dates and transition rules, a company generally qualifies as a smaller reporting company if either (i) its public float is less than $250.0 million or (ii) its annual revenues are less than $100.0 million and it has no public float or its public float is less than $700.0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Investors may find our common stock less attractive because we may rely on these exemptions. If some investors find our common stock less attractive as a result, there may be a less active trading market for our common stock and the market price of our common stock may be adversely affected and more volatile.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intend to pay dividends in the foreseeable future. As a result, your ability to achieve a return on your investment will depend on appreciation in the market price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and we do not currently intend to pay any cash dividends on our capital stock in the foreseeable future. We currently intend to retain all available funds and </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future earnings to fund the development and expansion of our business. Any future determination related to dividend policy will be made at the discretion of our board of directors, subject to applicable laws, and will depend upon, among other factors, our results of operations, prospects, financial condition, contractual restrictions and capital requirements. In addition, our ability to pay cash dividends on our capital stock may be limited by the terms of any future debt or preferred securities we issue or any future credit facilities we enter into.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investors must for the foreseeable future rely on sales of their common stock after price appreciation, which may never occur, as the only way to realize any future gains on their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and this capital might not be available on terms favorable to us, or at all, and may dilute existing stockholders’ ownership of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and opportunities, including the need to develop new products, enhance our existing products, enhance our operating infrastructure, potentially expand internationally, and potentially acquire complementary businesses and technologies. In order to achieve these objectives, we may make future commitments of capital resources. Accordingly, we may need to engage in equity or debt financings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 addition, the incurrence of indebtedness would increase our fixed obligations and include covenants or other restrictions that would impede our ability to manage our operations. Further, if additional financing is needed, we may not be able to obtain additional financing on terms favorable to us or at all. Our inability to obtain adequate financing or financing on terms satisfactory to us, when we require it, could significantly limit our ability to continue supporting our business growth and responding to business challenges and opportunities.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in the public market could cause our stock price to fall.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Lock-up agreements covering approximately 41.1 million pre-IPO shares of our outstanding common stock entered into in connection with our IPO expired in early January 2026 and these shares may now be sold, subject to all applicable restrictions under federal securities laws,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 at a time and price that we deem appropriate. If our existing stockholders sell, or indicate an intention to sell, substantial amounts of our common stock in the public market, the trading price of our common stock could decline.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common stock may be volatile, which could cause the value of your investment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highly volatile and could be subject to wide fluctuations. Securities markets worldwide experience significant price and volume fluctuations. This market volatility, as well as general economic, market, or political conditions, could reduce the market price of our common stock regardless of our operating performance. In addition, our results of operations could be below the expectations of public market analysts and investors due to a number of potential factors, including variations in our quarterly results of operations, additions or departures of key management personnel, failure to meet analysts’ earnings estimates, publication of research reports about our industry, litigation and government investigations, data privacy and security-related events,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adverse publicity about the medical device industry, or individual scandals, and, in response, the market price of our common stock could decrease significantly.</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Stock markets experience extreme price and volume fluctuations.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reports about our business, or if they issue an adverse or misleading opinion regarding our stock, our stock price and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securities analysts publish about us or our business. Although we have research coverage by analysts, if coverage is not maintained, the market price for our stock would be negatively impacted. If any of the analysts who cover us issue an adverse or misleading opinion regarding us, our business model, our intellectual property or our stock performance,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or the third parties we depend on may be adversely affected by natural disasters and other catastrophic events, and our business continuity and disaster recovery plans may not adequately protect us from a serious natural disaster or other catastrophic event. Any interruption in our operations or the operations of third parties who supply components or other materials for our products may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Severe weather, natural disasters and other catastrophic events, including pandemics or other public health crises (such as the COVID-19 pandemic), earthquakes, tsunamis, hurricanes, floods, fires, explosions, accidents, power outages, cyber attacks, telecommunications failures, mechanical failures, unscheduled downtimes, civil unrest, strikes, transportation interruptions, unpermitted discharges or releases of toxic or hazardous substances, other environmental risks, wars or other conflicts (including wars in Ukraine and the Middle East), sabotage, terrorist attacks, or other intentional acts of vandalism or misconduct could severely disrupt our operations, or the operations of third parties who manufacture or supply components or other materials for our products, and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a natural disaster or other catastrophic event occurs that prevents us or third-party suppliers or manufacturers from using all or a significant portion of our or their headquarters or other facilities, that damages critical infrastructure or that otherwise disrupts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catastrophic event. The potential impact of any disruption would depend on the nature and extent of the damage caused by a disaster.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our corporate headquarters and manufacturing facilities are located in Saratoga, California, near major earthquake faults and fire zones. We do not carry earthquake insurance. Furthermore, integral parties in our supply chain are similarly vulnerable to natural disasters or other sudden, unforeseen, and severe adverse events. If such an event were to affect our supply chain, it could have a material adverse effect on our business, financial condition, results of operations, and prospects.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If you purchase the common stock sold in this offering, you will experience immediate and substantial dilution in your investment. You may experience further dilution if we issue additional equity securities in the future.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If the price per share of our common stock being offered is higher than the historical net tangible book value per share of our common stock, you will experience immediate and substantial dilution with respect to the net tangible book value of the shares of common stock you purchase in this offering. After giving effect to sales of 3,163,444 shares of our common stock in this offering at an offering price of $5.69 per share, for aggregate gross proceeds of </w:t>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$18.0 million, and after deducting estimated offering expenses payable by us, our as adjusted net tangible book value as of June 30, 2026 would have been $31.0 million or $0.58 per share of common stock. See “Dilution.” This represents immediate dilution of $5.11 per share to purchasers in this offering, measured as the difference between the offering price per share and our as adjusted net tangible book value per share. We may also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or result in downward pressure on the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shares purchased by our affiliates will be subject to resale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issued in this registered offering will not be restricted securities solely as a result of their acquisition in this offering. However, an Investor that is an “affiliate” of ours within the meaning of Rule 144 under the Securities Act may resell its shares only pursuant to an effective resale registration statement or an available exemption from registration. Resales in reliance on Rule 144 by an affiliate are subject to applicable current public information, volume, manner-of-sale and notice requirements. This prospectus supplement covers our issuance and sale of shares to the Investors and does not register resales by the Investors.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broad discretion in how we use the net proceeds of this offering, and we may not use these proceeds effectively or in ways with which you agree.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management will have broad discretion as to the application of the net proceeds of this offering and could use them for purposes other than those contemplated at the time of this offering. See “Use of Proceeds.” Our stockholders may not agree with the manner in which our management chooses to allocate and spend the net proceeds. Moreover, our management may use the net proceeds for corporate purposes that may not yield profitable results or increase the market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This offering may increase the influence of significant stockholders over our corporate affairs.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Investors include significant existing stockholders. Their purchases in this offering may increase their beneficial ownership and influence over matters submitted to stockholders, including the election of directors and significant corporate transactions. Their interests may differ from those of other stockholders, and this concentration of ownership could discourage or delay a transaction that other stockholders consider favorable.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estimate that our net proceeds from this offering will be approximately $17.8 million, after deducting estimated offering expenses payable by us. We intend to use the net proceeds from the sale of common stock offered under this prospectus supplement for general corporate purposes, including sales and marketing, research and development activities, general and administrative matters, and working capital.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Pending the specific use of net proceeds as described in this prospectus supplement, we intend to invest the net proceeds to us from this offering in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invest in our common stock, your interest will be diluted to the extent of the difference between the price per share you pay in this offering and the net tangible book value per share of our common stock immediately after this offering. Our net tangible book value of our common stock as of June 30, 2026 was approximately $13.2 million, or approximately $0.26 per share of common stock based upon 50,032,148 shares outstanding. Net tangible book value per share is equal to our total tangible assets, less our total liabilities, divided by the total number of shares outstanding as of June 30,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3,163,444 shares of our common stock in this offering at an offering price of $5.69 per share, for estimated net proceeds of $17.8 million, after deducting estimated offering expenses payable by us, our as adjusted net tangible book value as of June 30, 2026, would have been $31.0 million or $0.58 per share of our common stock. This represents an immediate increase in net tangible book value per share of $0.32 to the existing stockholders and an immediate dilution in net tangible book value per share of $5.11 to purchasers in this offering. The following table illustrates this per share dilution to purchasers in this offering:</w:t>
      </w:r>
    </w:p>
    <w:tbl>
      <w:tblPr>
        <w:tblW w:w="8528" w:type="dxa"/>
        <w:jc w:val="left"/>
        <w:tblInd w:w="0" w:type="dxa"/>
        <w:tblLayout w:type="fixed"/>
        <w:tblCellMar>
          <w:top w:w="28" w:type="dxa"/>
          <w:left w:w="28" w:type="dxa"/>
          <w:bottom w:w="28" w:type="dxa"/>
          <w:right w:w="28" w:type="dxa"/>
        </w:tblCellMar>
      </w:tblPr>
      <w:tblGrid>
        <w:gridCol w:w="2325"/>
        <w:gridCol w:w="2041"/>
        <w:gridCol w:w="2053"/>
        <w:gridCol w:w="211"/>
        <w:gridCol w:w="511"/>
        <w:gridCol w:w="109"/>
        <w:gridCol w:w="109"/>
        <w:gridCol w:w="109"/>
        <w:gridCol w:w="109"/>
        <w:gridCol w:w="211"/>
        <w:gridCol w:w="586"/>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Historical 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after giving effect to the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after this offering</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in net tangible book value per share to purchasers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and calculations above are based on 50,032,148 shares of our common stock outstanding as of June 30, 2026, and exclude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168,898 shares of our common stock issuable upon the exercise of outstanding warrants as of June 30, 2026 with a weighted-average exercise price of $6.25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3,734,268 shares of our common stock issuable upon the exercise of outstanding stock options as of June 30, 2026, with a weighted-average exercise price of $4.53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12,138 shares of our common stock issuable upon vesting of outstanding restricted stock units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3,638,505 shares of our common stock reserved for future issuance under our 2025 Equity Incentive Plan (the “2025 Plan”), as well as any future increases in the number of shares of common stock reserved for issuance under the 2025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149,953 shares of our common stock issued after June 30, 2026 pursuant to the at-the-market program pursuant to the ATM Sales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To the extent that outstanding warrants and options are exercised or outstanding restricted stock units vest, you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such securities may result in further dilution to our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offering 3,163,444 shares of our common stock under this prospectus supplement directly to the Investors at a price of $5.69 per share pursuant to the Securities Purchase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closing of the offering, we will issue 3,163,444 shares of common stock to the Investors and we will receive proceeds (before expenses) in the amount of approximately $18,000,000, subject to the satisfaction or waiver of certain closing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estimate that the total expenses of this offering payable by us will be approximately $165,500.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were offered directly to the Investors without a placement agent, underwriter, broker, or dealer.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of the Investors is an existing stockholder of ours. Star One Global Capital Limited is wholly owned by Ching-Hang Shen. Ching-Hang Shen and Eliyahou Harari are related persons because each beneficially owns more than 5% of our outstanding common stock. In this offering, Star One Global Capital Limited is purchasing 878,734 shares for an aggregate purchase price of approximately $5.0 million and Eliyahou Harari is purchasing 1,757,469 shares for an aggregate purchase price of approximately $10.0 million. An additional existing stockholder who owns less than 5% of our outstanding common stock is purchasing the remaining 527,241 shares for an aggregate purchase price of approximately $3.0 million. The Investors are purchasing shares at the same price and on the same material terms as each other. Our board of directors approved the offering, and our audit committee reviewed and approved the related person transactions in accordance with our related person transaction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Securities Purchase Agreement contains representations, warranties and covenants made by us and the Investors for the benefit of the contracting parties, which may be subject to agreed limitations and may use contractual standards of materiality. The agreement should be read together with the disclosures in this prospectus supplement, the accompanying prospectus and the documents incorporated by reference. Nothing in the Securities Purchase Agreement or this description modifies our obligations under the federal securities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form of the Securities Purchase Agreement will be filed as an exhibit to a Current Report on Form 8-K and incorporated by reference into the registration statement of which this prospectus supplement and the accompanying prospectus form a part.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anticipate that the closing of the sale of such shares will take place on or about September 18, 2026, subject to the satisfaction or waiver of customary closing conditions.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and trades under the symbol “CV.” The transfer agent and registrar for our common stock is Computershare Trust Company, N.A.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shares of common stock being offered by this prospectus supplement will be passed upon for us by O’Melveny &amp; Myers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CapsoVision, Inc. as of and for the years ended December 31, 2025 and 2024 incorporated by reference in this prospectus supplement, have been audited by Baker Tilly US, LLP, an independent registered public accounting firm, as set forth in their report incorporated by reference in this prospectus supplement, in reliance upon such report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WHERE YOU CAN FIND ADDITIONAL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part of a registration statement on Form S-3 that we filed with the SEC. This prospectus supplement does not contain all of the information included in the registration statement. The full registration statement may be obtained from the SEC or us, as provided below.</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We also maintain a website located at </w:t>
      </w:r>
      <w:r>
        <w:rPr>
          <w:rFonts w:ascii="Times New Roman;serif" w:hAnsi="Times New Roman;serif"/>
          <w:b w:val="false"/>
          <w:i/>
          <w:color w:val="000000"/>
          <w:sz w:val="20"/>
        </w:rPr>
        <w:t>www.capsovision.com</w:t>
      </w:r>
      <w:r>
        <w:rPr>
          <w:rFonts w:ascii="Times New Roman;serif" w:hAnsi="Times New Roman;serif"/>
          <w:b w:val="false"/>
          <w:color w:val="000000"/>
          <w:sz w:val="20"/>
        </w:rPr>
        <w:t>, where these SEC filings and other information about the Company can be accessed, free of charge, as soon as reasonably practicable after we electronically file the information with, or furnish it to, the SEC. The information contained on or that can be accessed through our website does not constitute part of this prospectus supplement,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INFORMATION WE INCORPORATE BY REFERENCE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supplement, which means that we can disclose important information to you by referring you to another document filed separately with the SEC. The information incorporated by reference is considered to be part of this prospectus supplement. Any statement contained in a document incorporated or deemed to be incorporated by reference in this prospectus supplement will be deemed to be modified or superseded for purposes of this prospectus supplement to the extent a statement contained in this prospectus supplement or in any other subsequently filed document that is or is deemed to be incorporated by reference in this prospectus supplement modifies or supersedes that statement. We incorporate by reference in this prospectus supplement the following documents and reports we filed with the SEC (other than, in each case, the portions that are deemed to have been furnished and not filed in accordance with SEC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3">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that are incorporated by reference into Part III of our Annual Report on Form 10-K for the year ended December 31, 2025, as filed with the SEC on </w:t>
      </w:r>
      <w:hyperlink r:id="rId4">
        <w:r>
          <w:rPr>
            <w:rStyle w:val="InternetLink"/>
            <w:rFonts w:ascii="Times New Roman;serif" w:hAnsi="Times New Roman;serif"/>
            <w:b w:val="false"/>
            <w:color w:val="0000FF"/>
            <w:sz w:val="20"/>
            <w:u w:val="single"/>
          </w:rPr>
          <w:t>April 28,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5">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6">
        <w:r>
          <w:rPr>
            <w:rStyle w:val="InternetLink"/>
            <w:rFonts w:ascii="Times New Roman;serif" w:hAnsi="Times New Roman;serif"/>
            <w:b w:val="false"/>
            <w:color w:val="0000FF"/>
            <w:sz w:val="20"/>
            <w:u w:val="single"/>
          </w:rPr>
          <w:t>August 13,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Current Reports on Form 8-K filed with the SEC on</w:t>
      </w:r>
      <w:hyperlink r:id="rId7">
        <w:r>
          <w:rPr>
            <w:rStyle w:val="InternetLink"/>
            <w:color w:val="0000FF"/>
            <w:u w:val="single"/>
          </w:rPr>
          <w:t xml:space="preserve"> </w:t>
        </w:r>
      </w:hyperlink>
      <w:hyperlink r:id="rId8">
        <w:r>
          <w:rPr>
            <w:rStyle w:val="InternetLink"/>
            <w:rFonts w:ascii="Times New Roman;serif" w:hAnsi="Times New Roman;serif"/>
            <w:b w:val="false"/>
            <w:color w:val="0000FF"/>
            <w:sz w:val="20"/>
            <w:u w:val="single"/>
          </w:rPr>
          <w:t>March 13,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March 20, 2026</w:t>
        </w:r>
      </w:hyperlink>
      <w:r>
        <w:rPr>
          <w:color w:val="000000"/>
        </w:rPr>
        <w:t xml:space="preserve"> </w:t>
      </w:r>
      <w:r>
        <w:rPr>
          <w:rFonts w:ascii="Times New Roman;serif" w:hAnsi="Times New Roman;serif"/>
          <w:b w:val="false"/>
          <w:color w:val="000000"/>
          <w:sz w:val="20"/>
        </w:rPr>
        <w:t xml:space="preserve">(with respect to Items 1.01, 3.02, 8.01 and Exhibits 10.1 and 10.2 of Item 9.01 only), </w:t>
      </w:r>
      <w:hyperlink r:id="rId10">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July 2, 2026</w:t>
        </w:r>
      </w:hyperlink>
      <w:r>
        <w:rPr>
          <w:color w:val="000000"/>
        </w:rPr>
        <w:t xml:space="preserve"> </w:t>
      </w:r>
      <w:r>
        <w:rPr>
          <w:rFonts w:ascii="Times New Roman;serif" w:hAnsi="Times New Roman;serif"/>
          <w:b w:val="false"/>
          <w:color w:val="000000"/>
          <w:sz w:val="20"/>
        </w:rPr>
        <w:t xml:space="preserve">(with respect to Item 5.02 and Exhibits 10.1 and 10.2 of Item 9.01 only), </w:t>
      </w:r>
      <w:hyperlink r:id="rId12">
        <w:r>
          <w:rPr>
            <w:rStyle w:val="InternetLink"/>
            <w:rFonts w:ascii="Times New Roman;serif" w:hAnsi="Times New Roman;serif"/>
            <w:b w:val="false"/>
            <w:color w:val="0000FF"/>
            <w:sz w:val="20"/>
            <w:u w:val="single"/>
          </w:rPr>
          <w:t>August 13, 2026</w:t>
        </w:r>
      </w:hyperlink>
      <w:r>
        <w:rPr>
          <w:color w:val="000000"/>
        </w:rPr>
        <w:t xml:space="preserve"> </w:t>
      </w:r>
      <w:r>
        <w:rPr>
          <w:rFonts w:ascii="Times New Roman;serif" w:hAnsi="Times New Roman;serif"/>
          <w:b w:val="false"/>
          <w:color w:val="000000"/>
          <w:sz w:val="20"/>
        </w:rPr>
        <w:t xml:space="preserve">(with respect to Item 1.01 and Exhibit 10.1 of Item 9.01 only) and </w:t>
      </w:r>
      <w:hyperlink r:id="rId13">
        <w:r>
          <w:rPr>
            <w:rStyle w:val="InternetLink"/>
            <w:rFonts w:ascii="Times New Roman;serif" w:hAnsi="Times New Roman;serif"/>
            <w:b w:val="false"/>
            <w:color w:val="0000FF"/>
            <w:sz w:val="20"/>
            <w:u w:val="single"/>
          </w:rPr>
          <w:t>August 18, 2026</w:t>
        </w:r>
      </w:hyperlink>
      <w:r>
        <w:rPr>
          <w:color w:val="000000"/>
        </w:rPr>
        <w:t xml:space="preserve"> </w:t>
      </w:r>
      <w:r>
        <w:rPr>
          <w:rFonts w:ascii="Times New Roman;serif" w:hAnsi="Times New Roman;serif"/>
          <w:b w:val="false"/>
          <w:color w:val="000000"/>
          <w:sz w:val="20"/>
        </w:rPr>
        <w:t>(with respect to Item 8.01 only);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par value $0.001 per share, contained in our Registration Statement on </w:t>
      </w:r>
      <w:hyperlink r:id="rId14">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June 13, 2025 (File No. 001-42705), and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incorporate by reference the information contained in all other documents that we file with the SEC pursuant to Sections 13(a), 13(c), 14 or 15(d) of the Securities Exchange Act of 1934, as amended, or the Exchange Act, (other than the portions that are deemed to have been furnished and not filed in accordance with SEC rules, unless otherwise indicated therein), on or after the date of the registration statement of which this prospectus supplement forms a part and prior to the termination or completion of the offering of all securities under this prospectus supplement. The information contained in any such document will be considered part of this prospectus supplement from the date the document is filed with the SEC. Any statement contained in a document incorporated or deemed to be incorporated by reference herein shall be deemed to be modified or superseded for purposes of this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supplement. We will provide to each person, including any beneficial owner, to whom a prospectus (or a notice of availability in lieu thereof) is delivered, a copy of any or all of the documents incorporated by reference in this prospectus supplement (other than an exhibit to these filings, unless the exhibit is specifically incorporated by reference in the document requested) at no cost. Any such request can be made by writing or telephoning us at the following address and telephone number: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CapsoVision,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18805 Cox Avenue, Suite 250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Saratoga, CA 95070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(408) 624-1488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1676400" cy="82867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15"/>
                    <a:stretch>
                      <a:fillRect/>
                    </a:stretch>
                  </pic:blipFill>
                  <pic:spPr bwMode="auto">
                    <a:xfrm>
                      <a:off x="0" y="0"/>
                      <a:ext cx="1676400" cy="8286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CapsoVision,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$250,000,000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Rights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offer to sell the securities described in this prospectus separately or together in any combination, in one or more classes or series, in amounts, at prices and on terms to be determined at the time of any such offering. The aggregate offering price of the securities sold pursuant to this prospectus will not exceed $250,000,000.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that we may offer. Each time any securities are offered pursuant to this prospectus, we will provide specific information about the offered securities in one or more supplements to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Prospectus supplements may also add, update or change information in this prospectus. If the information varies between this prospectus and any accompanying prospectus supplement, you should rely on the information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(“Nasdaq”) under the symbol “CV.” Any prospectus supplement will indicate if the securities offered thereby will be listed on any securities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carefully read this prospectus and any applicable prospectus supplement, together with the documents we incorporate by reference, before you invest in our securities. This prospectus may not be used to offer and sell our securities unless accompanied by a prospectus supplement describing the method and terms of the offering.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any of our securities involves a high degree of risk. Please read carefully the section entitled “</w:t>
      </w:r>
      <w:hyperlink w:anchor="i620ea550491142a797d2b0231c8d515e_64">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620ea550491142a797d2b0231c8d515e_64">
        <w:r>
          <w:rPr>
            <w:rStyle w:val="InternetLink"/>
            <w:rFonts w:ascii="Times New Roman;serif" w:hAnsi="Times New Roman;serif"/>
            <w:b/>
            <w:color w:val="0000FF"/>
            <w:sz w:val="20"/>
            <w:u w:val="single"/>
          </w:rPr>
          <w:t>7</w:t>
        </w:r>
      </w:hyperlink>
      <w:r>
        <w:rPr>
          <w:color w:val="000000"/>
        </w:rPr>
        <w:t xml:space="preserve"> </w:t>
      </w:r>
      <w:r>
        <w:rPr>
          <w:rFonts w:ascii="Times New Roman;serif" w:hAnsi="Times New Roman;serif"/>
          <w:b/>
          <w:color w:val="000000"/>
          <w:sz w:val="20"/>
        </w:rPr>
        <w:t>of this prospectus and the “Risk Factors” section contained in any applicable prospectus supplement and in the documents incorporated by reference in this prospectus and any applicable prospectus supplement before investing in our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August 21,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841" w:type="dxa"/>
        <w:jc w:val="left"/>
        <w:tblInd w:w="0" w:type="dxa"/>
        <w:tblLayout w:type="fixed"/>
        <w:tblCellMar>
          <w:top w:w="28" w:type="dxa"/>
          <w:left w:w="28" w:type="dxa"/>
          <w:bottom w:w="28" w:type="dxa"/>
          <w:right w:w="28" w:type="dxa"/>
        </w:tblCellMar>
      </w:tblPr>
      <w:tblGrid>
        <w:gridCol w:w="2292"/>
        <w:gridCol w:w="2016"/>
        <w:gridCol w:w="2022"/>
        <w:gridCol w:w="149"/>
        <w:gridCol w:w="149"/>
        <w:gridCol w:w="213"/>
      </w:tblGrid>
      <w:tr>
        <w:trPr/>
        <w:tc>
          <w:tcPr>
            <w:tcW w:w="2292"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49">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49">
              <w:r>
                <w:rPr>
                  <w:rStyle w:val="InternetLink"/>
                  <w:rFonts w:ascii="Times New Roman;serif" w:hAnsi="Times New Roman;serif"/>
                  <w:b w:val="false"/>
                  <w:color w:val="0000FF"/>
                  <w:sz w:val="20"/>
                  <w:u w:val="single"/>
                </w:rPr>
                <w:t>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2">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2">
              <w:r>
                <w:rPr>
                  <w:rStyle w:val="InternetLink"/>
                  <w:rFonts w:ascii="Times New Roman;serif" w:hAnsi="Times New Roman;serif"/>
                  <w:b w:val="false"/>
                  <w:color w:val="0000FF"/>
                  <w:sz w:val="20"/>
                  <w:u w:val="single"/>
                </w:rPr>
                <w:t>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5">
              <w:r>
                <w:rPr>
                  <w:rStyle w:val="InternetLink"/>
                  <w:rFonts w:ascii="Times New Roman;serif" w:hAnsi="Times New Roman;serif"/>
                  <w:b w:val="false"/>
                  <w:color w:val="0000FF"/>
                  <w:sz w:val="20"/>
                  <w:u w:val="single"/>
                </w:rPr>
                <w:t>INFORMATION WE INCORPORATE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5">
              <w:r>
                <w:rPr>
                  <w:rStyle w:val="InternetLink"/>
                  <w:rFonts w:ascii="Times New Roman;serif" w:hAnsi="Times New Roman;serif"/>
                  <w:b w:val="false"/>
                  <w:color w:val="0000FF"/>
                  <w:sz w:val="20"/>
                  <w:u w:val="single"/>
                </w:rPr>
                <w:t>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58">
              <w:r>
                <w:rPr>
                  <w:rStyle w:val="InternetLink"/>
                  <w:rFonts w:ascii="Times New Roman;serif" w:hAnsi="Times New Roman;serif"/>
                  <w:b w:val="false"/>
                  <w:color w:val="0000FF"/>
                  <w:sz w:val="20"/>
                  <w:u w:val="single"/>
                </w:rPr>
                <w:t>CAUTIONARY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58">
              <w:r>
                <w:rPr>
                  <w:rStyle w:val="InternetLink"/>
                  <w:rFonts w:ascii="Times New Roman;serif" w:hAnsi="Times New Roman;serif"/>
                  <w:b w:val="false"/>
                  <w:color w:val="0000FF"/>
                  <w:sz w:val="20"/>
                  <w:u w:val="single"/>
                </w:rPr>
                <w:t>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1">
              <w:r>
                <w:rPr>
                  <w:rStyle w:val="InternetLink"/>
                  <w:rFonts w:ascii="Times New Roman;serif" w:hAnsi="Times New Roman;serif"/>
                  <w:b w:val="false"/>
                  <w:color w:val="0000FF"/>
                  <w:sz w:val="20"/>
                  <w:u w:val="single"/>
                </w:rPr>
                <w:t>ABOUT CAPSOVISION, INC.</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1">
              <w:r>
                <w:rPr>
                  <w:rStyle w:val="InternetLink"/>
                  <w:rFonts w:ascii="Times New Roman;serif" w:hAnsi="Times New Roman;serif"/>
                  <w:b w:val="false"/>
                  <w:color w:val="0000FF"/>
                  <w:sz w:val="20"/>
                  <w:u w:val="single"/>
                </w:rPr>
                <w:t>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4">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4">
              <w:r>
                <w:rPr>
                  <w:rStyle w:val="InternetLink"/>
                  <w:rFonts w:ascii="Times New Roman;serif" w:hAnsi="Times New Roman;serif"/>
                  <w:b w:val="false"/>
                  <w:color w:val="0000FF"/>
                  <w:sz w:val="20"/>
                  <w:u w:val="single"/>
                </w:rPr>
                <w:t>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67">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67">
              <w:r>
                <w:rPr>
                  <w:rStyle w:val="InternetLink"/>
                  <w:rFonts w:ascii="Times New Roman;serif" w:hAnsi="Times New Roman;serif"/>
                  <w:b w:val="false"/>
                  <w:color w:val="0000FF"/>
                  <w:sz w:val="20"/>
                  <w:u w:val="single"/>
                </w:rPr>
                <w:t>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0">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0">
              <w:r>
                <w:rPr>
                  <w:rStyle w:val="InternetLink"/>
                  <w:rFonts w:ascii="Times New Roman;serif" w:hAnsi="Times New Roman;serif"/>
                  <w:b w:val="false"/>
                  <w:color w:val="0000FF"/>
                  <w:sz w:val="20"/>
                  <w:u w:val="single"/>
                </w:rPr>
                <w:t>9</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3">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3">
              <w:r>
                <w:rPr>
                  <w:rStyle w:val="InternetLink"/>
                  <w:rFonts w:ascii="Times New Roman;serif" w:hAnsi="Times New Roman;serif"/>
                  <w:b w:val="false"/>
                  <w:color w:val="0000FF"/>
                  <w:sz w:val="20"/>
                  <w:u w:val="single"/>
                </w:rPr>
                <w:t>14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6">
              <w:r>
                <w:rPr>
                  <w:rStyle w:val="InternetLink"/>
                  <w:rFonts w:ascii="Times New Roman;serif" w:hAnsi="Times New Roman;serif"/>
                  <w:b w:val="false"/>
                  <w:color w:val="0000FF"/>
                  <w:sz w:val="20"/>
                  <w:u w:val="single"/>
                </w:rPr>
                <w:t>DESCRIPTION OF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6">
              <w:r>
                <w:rPr>
                  <w:rStyle w:val="InternetLink"/>
                  <w:rFonts w:ascii="Times New Roman;serif" w:hAnsi="Times New Roman;serif"/>
                  <w:b w:val="false"/>
                  <w:color w:val="0000FF"/>
                  <w:sz w:val="20"/>
                  <w:u w:val="single"/>
                </w:rPr>
                <w:t>16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79">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79">
              <w:r>
                <w:rPr>
                  <w:rStyle w:val="InternetLink"/>
                  <w:rFonts w:ascii="Times New Roman;serif" w:hAnsi="Times New Roman;serif"/>
                  <w:b w:val="false"/>
                  <w:color w:val="0000FF"/>
                  <w:sz w:val="20"/>
                  <w:u w:val="single"/>
                </w:rPr>
                <w:t>17</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2">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2">
              <w:r>
                <w:rPr>
                  <w:rStyle w:val="InternetLink"/>
                  <w:rFonts w:ascii="Times New Roman;serif" w:hAnsi="Times New Roman;serif"/>
                  <w:b w:val="false"/>
                  <w:color w:val="0000FF"/>
                  <w:sz w:val="20"/>
                  <w:u w:val="single"/>
                </w:rPr>
                <w:t>18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5">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5">
              <w:r>
                <w:rPr>
                  <w:rStyle w:val="InternetLink"/>
                  <w:rFonts w:ascii="Times New Roman;serif" w:hAnsi="Times New Roman;serif"/>
                  <w:b w:val="false"/>
                  <w:color w:val="0000FF"/>
                  <w:sz w:val="20"/>
                  <w:u w:val="single"/>
                </w:rPr>
                <w:t>20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0ea550491142a797d2b0231c8d515e_88">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0ea550491142a797d2b0231c8d515e_88">
              <w:r>
                <w:rPr>
                  <w:rStyle w:val="InternetLink"/>
                  <w:rFonts w:ascii="Times New Roman;serif" w:hAnsi="Times New Roman;serif"/>
                  <w:b w:val="false"/>
                  <w:color w:val="0000FF"/>
                  <w:sz w:val="20"/>
                  <w:u w:val="single"/>
                </w:rPr>
                <w:t>20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Securities and Exchange Commission (the “SEC”) using a “shelf” registration process. Under this shelf registration process, we may, from time to time, sell any combination of the securities described in this prospectus in one or more offerings.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that may be offered pursuant to the registration statement of which this prospectus forms a part. Each time we sell securities pursuant to the registration statement of which this prospectus forms a part, a prospectus supplement will be provided that contains specific information about the terms of that offering and the securities being sold in that offering. The prospectus supplement may also add to, update or change the information contained in or incorporated by reference in this prospectus. If information varies between this prospectus and any prospectus supplement, you should rely on the information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only rely on the information contained in or incorporated by reference in this prospectus, any prospectus supplement and any free writing prospectus prepared by or on behalf of us or to which we have referred you. We have not authorized anyone to provide you with different information. We take no responsibility for, and can provide no assurance as to the reliability of, any other information that others may give you. If anyone provides you with different or inconsistent information, you should not rely on it. We are not making offers to sell the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purchasing any securities, you should carefully read both this prospectus and any prospectus supplement, together with the additional information described under the heading “Where You Can Find Additional Information” and “Information We Incorporate by Reference.”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action is being taken in any jurisdiction outside the United States to permit a public offering of our securities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References in this prospectus to the terms “we,” “us,” “our,” the “Company,” “CapsoVision,” or other similar terms refer to CapsoVision,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on Form S-3 that we filed with the SEC. This prospectus does not contain all of the information included in the registration statement.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Our SEC filings are available to the public at the SEC’s website at www.sec.gov. We also maintain a website located at www.capsovision.com, where these SEC filings and other information about the Company can be accessed, free of charge, as soon as reasonably practicable after we electronically file the information with, or furnish it to, the SEC. The information contained on or that can be accessed through our website does not constitute part of this prospectus, except for reports filed with the SEC that are specifically incorporated herein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Forms of any documents establishing the terms of the offered securities are filed as exhibits to the registration statement of which this prospectus forms a part or will be filed through an amendment to our registration statement on Form S-3 or under cover of a Current Report on Form 8-K or other document filed with the SEC and incorporated into this prospectus by reference. Statements in this prospectus about these documents are summaries and each statement is qualified in all respects by reference to the document to which it refers. You should refer to the actual documents for a more complete description of the relevant matters. The full registration statement, including exhibits thereto, may be obtained from the SEC or us as indicated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WE INCORPORATE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into this prospectus, which means that we can disclose important information to you by referring you to another document filed separately with the SEC. The information incorporated by reference is considered to be part of this prospectus. Any statement contained in a document incorporated or deemed to be incorporated by reference in this prospectus will be deemed to be modified or superseded for purposes of this prospectus to the extent a statement contained in this prospectus or in any other subsequently filed document that is or is deemed to be incorporated by reference in this prospectus modifies or supersedes that statement. We incorporate by reference in this prospectus the following documents and reports we filed with the SEC (other than, in each case, the portions that are deemed to have been furnished and not filed in accordance with SEC rules):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with the SEC on </w:t>
      </w:r>
      <w:hyperlink r:id="rId16">
        <w:r>
          <w:rPr>
            <w:rStyle w:val="InternetLink"/>
            <w:rFonts w:ascii="Times New Roman;serif" w:hAnsi="Times New Roman;serif"/>
            <w:b w:val="false"/>
            <w:color w:val="0000FF"/>
            <w:sz w:val="20"/>
            <w:u w:val="single"/>
          </w:rPr>
          <w:t>March 26,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on Schedule 14A that are incorporated by reference into Part III of our Annual Report on Form 10-K for the year ended December 31, 2025, as filed with the SEC on </w:t>
      </w:r>
      <w:hyperlink r:id="rId17">
        <w:r>
          <w:rPr>
            <w:rStyle w:val="InternetLink"/>
            <w:rFonts w:ascii="Times New Roman;serif" w:hAnsi="Times New Roman;serif"/>
            <w:b w:val="false"/>
            <w:color w:val="0000FF"/>
            <w:sz w:val="20"/>
            <w:u w:val="single"/>
          </w:rPr>
          <w:t>April 28, 2026</w:t>
        </w:r>
      </w:hyperlink>
      <w:r>
        <w:rPr>
          <w:rFonts w:ascii="Times New Roman;serif" w:hAnsi="Times New Roman;serif"/>
          <w:b w:val="false"/>
          <w:color w:val="000000"/>
          <w:sz w:val="2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fiscal quarter ended March 31, 2026, filed with the SEC on </w:t>
      </w:r>
      <w:hyperlink r:id="rId18">
        <w:r>
          <w:rPr>
            <w:rStyle w:val="InternetLink"/>
            <w:rFonts w:ascii="Times New Roman;serif" w:hAnsi="Times New Roman;serif"/>
            <w:b w:val="false"/>
            <w:color w:val="0000FF"/>
            <w:sz w:val="20"/>
            <w:u w:val="single"/>
          </w:rPr>
          <w:t>May 14, 2026</w:t>
        </w:r>
      </w:hyperlink>
      <w:r>
        <w:rPr>
          <w:rFonts w:ascii="Times New Roman;serif" w:hAnsi="Times New Roman;serif"/>
          <w:b w:val="false"/>
          <w:color w:val="000000"/>
          <w:sz w:val="20"/>
        </w:rPr>
        <w:t xml:space="preserve">, and for the fiscal quarter ended June 30, 2026, filed with the SEC on </w:t>
      </w:r>
      <w:hyperlink r:id="rId19">
        <w:r>
          <w:rPr>
            <w:rStyle w:val="InternetLink"/>
            <w:rFonts w:ascii="Times New Roman;serif" w:hAnsi="Times New Roman;serif"/>
            <w:b w:val="false"/>
            <w:color w:val="0000FF"/>
            <w:sz w:val="20"/>
            <w:u w:val="single"/>
          </w:rPr>
          <w:t>August 13,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20">
        <w:r>
          <w:rPr>
            <w:rStyle w:val="InternetLink"/>
            <w:rFonts w:ascii="Times New Roman;serif" w:hAnsi="Times New Roman;serif"/>
            <w:b w:val="false"/>
            <w:color w:val="0000FF"/>
            <w:sz w:val="20"/>
            <w:u w:val="single"/>
          </w:rPr>
          <w:t>March 13,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FF"/>
            <w:sz w:val="20"/>
            <w:u w:val="single"/>
          </w:rPr>
          <w:t>March 20, 2026</w:t>
        </w:r>
      </w:hyperlink>
      <w:r>
        <w:rPr>
          <w:color w:val="000000"/>
        </w:rPr>
        <w:t xml:space="preserve"> </w:t>
      </w:r>
      <w:r>
        <w:rPr>
          <w:rFonts w:ascii="Times New Roman;serif" w:hAnsi="Times New Roman;serif"/>
          <w:b w:val="false"/>
          <w:color w:val="000000"/>
          <w:sz w:val="20"/>
        </w:rPr>
        <w:t xml:space="preserve">(with respect to Items 1.01, 3.02, 8.01 and Exhibits 10.1 and 10.2 of Item 9.01 only), </w:t>
      </w:r>
      <w:hyperlink r:id="rId22">
        <w:r>
          <w:rPr>
            <w:rStyle w:val="InternetLink"/>
            <w:rFonts w:ascii="Times New Roman;serif" w:hAnsi="Times New Roman;serif"/>
            <w:b w:val="false"/>
            <w:color w:val="0000FF"/>
            <w:sz w:val="20"/>
            <w:u w:val="single"/>
          </w:rPr>
          <w:t>June 12,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FF"/>
            <w:sz w:val="20"/>
            <w:u w:val="single"/>
          </w:rPr>
          <w:t>July 2, 2026</w:t>
        </w:r>
      </w:hyperlink>
      <w:r>
        <w:rPr>
          <w:color w:val="000000"/>
        </w:rPr>
        <w:t xml:space="preserve"> </w:t>
      </w:r>
      <w:r>
        <w:rPr>
          <w:rFonts w:ascii="Times New Roman;serif" w:hAnsi="Times New Roman;serif"/>
          <w:b w:val="false"/>
          <w:color w:val="000000"/>
          <w:sz w:val="20"/>
        </w:rPr>
        <w:t xml:space="preserve">(with respect to Item 5.02 and Exhibits 10.1 and 10.2 of Item 9.01 only) and </w:t>
      </w:r>
      <w:hyperlink r:id="rId24">
        <w:r>
          <w:rPr>
            <w:rStyle w:val="InternetLink"/>
            <w:rFonts w:ascii="Times New Roman;serif" w:hAnsi="Times New Roman;serif"/>
            <w:b w:val="false"/>
            <w:color w:val="0000FF"/>
            <w:sz w:val="20"/>
            <w:u w:val="single"/>
          </w:rPr>
          <w:t>August 13, 2026</w:t>
        </w:r>
      </w:hyperlink>
      <w:r>
        <w:rPr>
          <w:color w:val="000000"/>
        </w:rPr>
        <w:t xml:space="preserve"> </w:t>
      </w:r>
      <w:r>
        <w:rPr>
          <w:rFonts w:ascii="Times New Roman;serif" w:hAnsi="Times New Roman;serif"/>
          <w:b w:val="false"/>
          <w:color w:val="000000"/>
          <w:sz w:val="20"/>
        </w:rPr>
        <w:t>(with respect to Item 1.01 and Exhibit 10.1 of Item 9.01 only);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par value $0.001 per share, contained in our Registration Statement on </w:t>
      </w:r>
      <w:hyperlink r:id="rId25">
        <w:r>
          <w:rPr>
            <w:rStyle w:val="InternetLink"/>
            <w:rFonts w:ascii="Times New Roman;serif" w:hAnsi="Times New Roman;serif"/>
            <w:b w:val="false"/>
            <w:color w:val="0000FF"/>
            <w:sz w:val="20"/>
            <w:u w:val="single"/>
          </w:rPr>
          <w:t>Form 8-A</w:t>
        </w:r>
      </w:hyperlink>
      <w:r>
        <w:rPr>
          <w:rFonts w:ascii="Times New Roman;serif" w:hAnsi="Times New Roman;serif"/>
          <w:b w:val="false"/>
          <w:color w:val="000000"/>
          <w:sz w:val="20"/>
        </w:rPr>
        <w:t>, filed with the SEC on June 13, 2025 (File No. 001-42705), and any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the information contained in all other documents that we file with the SEC pursuant to Sections 13(a), 13(c), 14 or 15(d) of the Securities Exchange Act of 1934, as amended (the “Exchange Act”) (other than the portions that are deemed to have been furnished and not filed in accordance with SEC rules, unless otherwise indicated therein), on or after the date of the registration statement of which this prospectus forms a part and prior to its effectiveness and prior to the completion of the offering of all securities under this prospectus and any prospectus supplement. The information contained in any such document will be considered part of this prospectus from the date the document is filed with the SEC. Any statement contained in a document incorporated or deemed to be incorporated by reference herein shall be deemed to be modified or superseded for purposes of this prospectus and any accompanying prospectus supplement to the extent that a statement contained herein or therein or in any other subsequently filed document which also is or is deemed to be incorporated by reference herein or therein modifies or supersedes such statement. Any such statement so modified or superseded shall not be deemed, except as so modified or superseded, to constitute a part of this prospectus or any accompanying prospectus supplement. We will provide to each person, including any beneficial owner, to whom a prospectus (or a notice of registration in lieu thereof) is delivered, a copy of any or all of the documents incorporated by reference in this prospectus or any accompanying prospectus supplement (other than an exhibit to these filings, unless the exhibit is specifically incorporated by reference in the document requested) at no cost. Any such request can be made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CapsoVision,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18805 Cox Avenue, Suite 250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Saratoga, CA 95070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Telephone: (408) 624-1488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including the documents incorporated by reference herein, contains “forward-looking statements” within the meaning of Section 27A of the Securities Act, and Section 21E of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These forward-looking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prospectus.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The following factors, among others, could cause actual results to differ from those set forth in the forward-looking statement: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acceptance of our products by patients and doctors;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potential market size for our current CapsoCam Plus capsule and CapsoCam Colon (once FDA cleared) and those markets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to increase small bowel capsule sales following recent 510(k) clearance for pediatric use and telehealth supervision and related products currently under development;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for submission of 510(k) application for our second-generation of CapsoCam Colon capsule;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receipt of and related timing for FDA 510(k) clearance of our CapsoCam Colon capsule and related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expected timing and enrollment size of our study of the CapsoCam UGI system and our expected resubmission of the Breakthrough Device Designation application following the study;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expand into new indications in terms of new GI pathologies and expanded patient populations;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plans and efforts to introduce enhancements and improvements to our products and technologies, including the AI capabilities incorporated into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commercialization capabilities and strategies, including our plans to increase revenues and sales capabilities in and outside the United States (the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strategic plan for our business and products and technology;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and capabilities of, our assembly manufacturers and component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protection of our intellectual property (including our AI capabilities) including through patents and trade secret protections;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expected performance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anticipated use of proceeds from this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time during which we will be an emerging growth company under the Jumpstart Our Business Startups Act of 2012 (the “JOBS Act”) or smaller reporting company under U.S. securities 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estimates of our expenses, future revenue, capital requirements, our needs for additional financing, and our ability to obtain additional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continue as a going concern;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future financial performance;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risks and uncertainties discussed in Part I, Item 1A, Risk Factors in our most recent Annual Report on Form 10-K filed with the SEC, as such risk factors may be amended, supplemented or superseded from time to time by our subsequent periodic reports we file with the SEC, including our Quarterly Reports on Form 10-Q, and in any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operate in an evolving environment. New risk factors and uncertainties may emerge from time to time, and it is not possible for management to predict all risk factors and uncertainties. We caution you that the forward-looking statements in this prospectus, any prospectus supplement and the documents incorporated by reference herein and therein, are made only as of their respective dates. These statements are inherently uncertain and investors are cautioned not to unduly rely upon these statements.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required by applicable law, we do not plan to publicly update or revise any forward-looking statements contained or incorporated by reference herein, whether as a result of any new information, future events, changed circumstances or otherwise.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including the documents incorporated by reference herein, completely and with the understanding that our actual future results may be materially different from what we expect. We qualify all of our forward-looking statements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CAPSOVISION, INC.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CapsoVision, Inc. is a global commercial-stage medical technology company focused on creating diagnostic and screening products to identify abnormalities of the GI tract. We develop advanced imaging and AI technologies in creating such products while maximizing the flexibility, convenience, profitability, and safety of patient care. We are a Delaware company, incorporated in 2005. Our corporate headquarters is located in Saratoga, California.</w:t>
      </w:r>
    </w:p>
    <w:p>
      <w:pPr>
        <w:pStyle w:val="TextBody"/>
        <w:bidi w:val="0"/>
        <w:spacing w:lineRule="auto" w:line="288" w:before="0" w:after="180"/>
        <w:jc w:val="left"/>
        <w:rPr/>
      </w:pPr>
      <w:r>
        <w:rPr>
          <w:rFonts w:ascii="Times New Roman;serif" w:hAnsi="Times New Roman;serif"/>
          <w:b w:val="false"/>
          <w:color w:val="000000"/>
          <w:sz w:val="20"/>
        </w:rPr>
        <w:t xml:space="preserve">Our principal executive office is located at 18805 Cox Avenue, Suite 250, Saratoga, California 95070, our telephone number is (408) 624-1488, and our website is </w:t>
      </w:r>
      <w:r>
        <w:rPr>
          <w:rFonts w:ascii="Times New Roman;serif" w:hAnsi="Times New Roman;serif"/>
          <w:b w:val="false"/>
          <w:i/>
          <w:color w:val="000000"/>
          <w:sz w:val="20"/>
        </w:rPr>
        <w:t>www.capsovision.com</w:t>
      </w:r>
      <w:r>
        <w:rPr>
          <w:rFonts w:ascii="Times New Roman;serif" w:hAnsi="Times New Roman;serif"/>
          <w:b w:val="false"/>
          <w:color w:val="000000"/>
          <w:sz w:val="20"/>
        </w:rPr>
        <w:t>. The information contained on or that can be accessed through our website does not constitute part of this prospectus, except for reports filed with the SEC that are specifically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any of our securities involves significant risks. Before making an investment decision, in addition to the other information contained in or incorporated by reference in this prospectus and any prospectus supplement, you should carefully consider the specific risks set forth under the heading “Risk Factors” in our most recent Annual Report on Form 10-K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Additional Information” and “Information We Incorporate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securities covered by this prospectus as set forth in the applicable prospectus supplement. Pending any specific application, we may temporarily invest funds in money market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following summary of the material features of our capital stock does not purport to be complete and is subject to, and qualified in its entirety by, the provisions of our amended and restated certificate of incorporation (our “Certificate of Incorporation”) and our amended and restated bylaws (our “Bylaws”), each of which are filed as exhibits to the registration statement of which this prospectus is a part, as well as applicable provisions of the Delaware General Corporation Law (the “DGCL”).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capital stock consists of 300,000,000 shares of common stock, par value $0.001 per share, and 10,000,000 shares of preferred stock, par value $0.001 per share.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Outstanding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50,032,148 shares of common stock outstanding, held of record by 204 stockholders. The actual number of holders is greater than this number and includes stockholders who are beneficial owners, but whose shares are held in “street name” by banks, brokers, and other financial institutions. This number of record holders also does not include stockholders whose shares may be held in trust by other entities.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Voting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be applicable to any then outstanding preferred stock, holders of our common stock are entitled to receive ratably any dividends that our board of directors may declare out of funds legally available.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then outstanding shares of preferred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Rights and Preferences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our common stock have no preemptive, conversion, or subscription rights, and there are no redemption or sinking-fund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of directors may authorize the issuance of preferred stock with voting or conversion rights that could adversely affect the voting power or other rights of the holders of common stock. The issuance of preferred stock, </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while providing flexibility in connection with possible acquisitions and other corporate purposes, could, among other things, have the effect of delaying, deferring, or preventing a change in control of our Company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3,734,268 shares of common stock were issuable upon the exercise of outstanding stock options, at a weighted-average exercise price of $4.53 per share.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Restricted Stock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12,138 shares of common stock were issuable upon vesting of outstanding restricted stock units.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168,898 shares of common stock were issuable upon the exercise of outstanding warrants, at a weighted-average exercise price of $6.25 per share.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holders of shares of our common stock identified in our amended and restated investors’ rights agreement, as amended, are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as amended,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stock transfer taxes, fees and disbursements of more than one special counsel for the holders, and the compensation of regular employees of the company, of the shares registered pursuant to the demand, piggyback, and Form S-3 registrations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demand, piggyback, and Form S-3 registration rights described below will terminate upon the earliest to occur of (1) the date three years after the consummation of the Company’s IPO or (2) with respect to each stockholder, such time at which Rule 144 of the Securities Act (“Rule 144”) or another similar exemption under the Securities Act is available for the sale of all of such stockholder’s shares without limitation, during a three-month period without registration.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Demand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holding not less than 50% of registrable securities may, on not more than two occasions, request that we register all or a portion of their shares, subject to certain specified exceptions. Such request for registration must cover securities the anticipated aggregate offering price of which is at least $5.0 million.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Piggyback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event that we propose to register any of our securities under the Securities Act in another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S-3 Registration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Any holder or holders of registrable securities may, with respect to not more than two such registrations within any 12-month period, request that we register all or a portion of their shares on Form S-3 if we are qualified to file a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registration statement on Form S-3, subject to specified exceptions. Such request for registration on Form S-3 must cover securities with aggregate proceeds, net of underwriting discounts and expenses related to the issuance, which equal or exceed $1.0 million. The right to have such shares registered on Form S-3 is further subject to other specified conditions and limitations.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Provisions of Delaware Law and Our Certificate of Incorporation and Bylaws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Section 203 of the Delaware General Corporation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before such date, the board of directors of the corporation approved either the business combination or the transaction that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after such date, the business combination is approved by the board of directors and authorized at an annual or special meeting of the stockholders, and not by written consent, by the affirmative vote of at least 66</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of the outstanding voting stock that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 “business combination” to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of 10% or more of the assets of the corporation involving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certain exceptions, any transaction that results in the issuance or transfer by the corporation of any stock of the corporation to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transaction involving the corporation that has the effect of increasing the proportionate share of the stock or any class or series of the corporation beneficially owned by the interested stockholder;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Certificate of Incorporation and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Among other things, our Certificate of Incorporation and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issue up to 10,000,000 shares of preferred stock, with any rights, preferences, and privileges as they may designate;</w:t>
      </w: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authorized number of directors may be changed only by resolution of our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our board of directors is classified into three classes of directors, divided as nearly equal in number as possible;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subject to the rights of any series of preferred stock to elect directors, directors may only be removed for cause, which removal may be effected, subject to any limitation imposed by law, by the holders of at least 66⅔% of the voting power of all of our then-outstanding shares of the capital stock entitled to vote generally at an election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 or electronic transmission;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special meetings of our stockholders may be called only by our board of directors pursuant to a resolution adopted by a majority of the total number of directors constituting the board, and not by our stockholders;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lineRule="auto" w:line="288" w:before="0" w:after="180"/>
        <w:jc w:val="left"/>
        <w:rPr/>
      </w:pPr>
      <w:r>
        <w:rPr>
          <w:rFonts w:ascii="Times New Roman;serif" w:hAnsi="Times New Roman;serif"/>
          <w:b w:val="false"/>
          <w:color w:val="000000"/>
          <w:sz w:val="20"/>
        </w:rPr>
        <w:t>The amendment of any of these provisions would require approval by the holders of at least 66</w:t>
      </w:r>
      <w:r>
        <w:rPr>
          <w:rFonts w:ascii="Times New Roman;serif" w:hAnsi="Times New Roman;serif"/>
          <w:b w:val="false"/>
          <w:color w:val="000000"/>
          <w:sz w:val="13"/>
        </w:rPr>
        <w:t>2</w:t>
      </w:r>
      <w:r>
        <w:rPr>
          <w:color w:val="000000"/>
        </w:rPr>
        <w:t>⁄</w:t>
      </w:r>
      <w:r>
        <w:rPr>
          <w:rFonts w:ascii="Times New Roman;serif" w:hAnsi="Times New Roman;serif"/>
          <w:b w:val="false"/>
          <w:color w:val="000000"/>
          <w:sz w:val="13"/>
        </w:rPr>
        <w:t>3</w:t>
      </w:r>
      <w:r>
        <w:rPr>
          <w:rFonts w:ascii="Times New Roman;serif" w:hAnsi="Times New Roman;serif"/>
          <w:b w:val="false"/>
          <w:color w:val="000000"/>
          <w:sz w:val="20"/>
        </w:rPr>
        <w:t>% of the voting power of all of our then-outstanding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combination of these provisions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effect a change in control of our Company.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control or management of our Company.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Choice of Forum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unless we consent in writing to the selection of an alternative forum,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breach of fiduciary duty; any action asserting a claim against us arising pursuant to the DGCL, our Certificate of Incorporation, or our Bylaws (as either may be amended from time to time);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also provides that the federal district courts of the United States of America will be the exclusive forum for the resolution of any complaint asserting a cause of action against us or any of our directors, officers, employees, or agents and arising under the Securities Act. Nothing in our Certificate of Incorporation or Bylaws precludes stockholders that assert claims under the Exchange Act from bringing such claims in state or federal court, subject to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Foreign Action is filed in a court other than a court located within the State of Delaware, in the name of any stockholder, such stockholder shall be deemed to have consented to the personal jurisdiction of the state and federal courts located within the State of Delaware in connection with any action brought in any such court to enforce the applicable provisions of our Certificate of Incorporation and having service of process made upon such stockholder in any such action by service upon such stockholder’s counsel in the Foreign Action as agent for such stockholder. Although our Certificate of Incorporation contains the choice of forum provision described above, it is possible that a court could find that such a provision is inapplicable for a particular claim or action or that such provision is unenforceable.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In addition, this choice of forum provision may result in increased costs for stockholders to bring a claim. Furthermore, the enforceability of similar choice of forum provisions in other companies’ certificates of incorporation has been challenged in legal proceedings, and it is possible that a court could find these types of provisions to be inapplicable or unenforceable.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trading symbol “CV.”</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Computershare Trust Company, N.A. The transfer agent and registrar’s address is 150 Royall Street, Canton, Massachusetts 02021.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to purchase shares of our common stock or shares of our preferred stock. We may issue warrants independently of or together with shares of our common stock, shares of our preferred stock or other securities offered by any prospectus supplement. Warrants sold with other securities may be attached to or separate from shares of our common stock, shares of our preferred stock or other securities. We may issue warrants under one or more warrant agreements between us and a bank or trust company, as warrant agent, that we will name in the prospectus supplement relating to the particular issue of offered warrants. If we appoint a warrant agent, such warrant agent will act solely as our agent in connection with the warrants and will not assume any obligation or relationship of agency or trust for or with any holders or beneficial owners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warrants we offer will include specific terms relating to the offering.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warrants to be offered;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at which the warrants will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including composite currencies, in which the price of the warrants may be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securities purchasable upon exercise of the warrants and the number of securities issuable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at which and the currency or currencies, including composite currencies, in which the securities purchasable upon exercise of the warrants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shall commence and the date on which that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terms related to any permitted adjustment in the exercise price of or number of securities covered by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on and after which the warrants and the related securities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a discussion of any material federal income tax considerations;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warrants, including terms, procedures and limitations relating to the exchange and exercise of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Holders of the warrants may exercise the warrants at any time up to the specified time on the expiration date that we set forth in the applicable prospectus supplement. After the specified time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Warrants may be exercised as described in the applicable prospectus supplement. Upon receipt of the required payment and the warrant certificate properly completed and duly executed at the corporate trust office of the warrant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agent or any other office indicated in the applicable prospectus supplement, we will, as soon as practicable, issue and deliver the underlying securities purchasable upon such exercise. If fewer than all of the warrants represented by a warrant certificate are exercised, we will issue a new warrant certificate for the remaining amount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warrants we offer will not necessarily be complete and will be qualified in its entirety by reference to the applicable form of warrant agreement, including a form of warrant certificate, which will describe the terms of the series of warrants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rights for the purchase of shares of our common stock or shares of our preferred stock. Each series of rights will be issued under a separate rights agreement to be entered into with a bank or trust company, as rights agent, all as set forth in the applicable prospectus supplement. The rights agent will act solely as our agent in connection with the certificates relating to the rights and will not assume any obligation or relationship of agency or trust with any holders of rights certificates or beneficial owners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rights we offer will describe the specific terms of those rights.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for determining the persons entitled to participate in the rights distribution;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aggregate number or amount of underlying securities purchasable upon exercise of the rights and the exercise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aggregate number of rights being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if any, on and after which the rights may be transferable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 will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rights outstanding,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a discussion of any material federal income tax considerations;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rights, including the terms, procedures and limitations relating to the distribution, exchange and exercise of the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rights we offer will not necessarily be complete and will be qualified in its entirety by reference to the applicable form of rights agreement, which will describe the terms of the series of rights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comprising two or more securities described in this prospectus in any combination. For example, we might issue units consisting of a combination of shares of our common stock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issuance of units we offer will describe the terms of those units. These terms may include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the issuance, payment, settlement, transfer or exchange of the units or of the securities comprising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units will be issued in fully registered or global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description in the applicable prospectus supplement of any units we offer will not necessarily be complete. Such description will be qualified in its entirety by reference to the applicable form of unit agreement, including a form of unit certificate, which will describe the terms of the series of units being offered and which will be filed with the SEC and incorporated by reference in the registration statement of which this prospectus is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at the market offerings, if any, may be conducted by underwriters acting as principal or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are underwriters of the securities offered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civil liabilities related to any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securities we may offer, other than our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underwriters or agents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regarding the validity of the securities to be offered by this prospectus will be passed upon for us by O’Melveny &amp; Myers LLP. Additional legal matters may be passed upon for us or any underwriters, dealers or agents by counsel that will be named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CapsoVision, Inc. as of and for the years ended December 31, 2024 and 2025 incorporated by reference in this prospectus, have been audited by Baker Tilly US, LLP, an independent registered public accounting firm, as set forth in their report incorporated by reference in this prospectus, in reliance upon such report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0"/>
        <w:jc w:val="center"/>
        <w:rPr/>
      </w:pPr>
      <w:r>
        <w:rPr/>
        <w:drawing>
          <wp:inline distT="0" distB="0" distL="0" distR="0">
            <wp:extent cx="1676400" cy="828675"/>
            <wp:effectExtent l="0" t="0" r="0" b="0"/>
            <wp:docPr id="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 descr=""/>
                    <pic:cNvPicPr>
                      <a:picLocks noChangeAspect="1" noChangeArrowheads="1"/>
                    </pic:cNvPicPr>
                  </pic:nvPicPr>
                  <pic:blipFill>
                    <a:blip r:embed="rId26"/>
                    <a:stretch>
                      <a:fillRect/>
                    </a:stretch>
                  </pic:blipFill>
                  <pic:spPr bwMode="auto">
                    <a:xfrm>
                      <a:off x="0" y="0"/>
                      <a:ext cx="1676400" cy="828675"/>
                    </a:xfrm>
                    <a:prstGeom prst="rect">
                      <a:avLst/>
                    </a:prstGeom>
                  </pic:spPr>
                </pic:pic>
              </a:graphicData>
            </a:graphic>
          </wp:inline>
        </w:drawing>
      </w:r>
    </w:p>
    <w:p>
      <w:pPr>
        <w:pStyle w:val="TextBody"/>
        <w:bidi w:val="0"/>
        <w:spacing w:lineRule="auto" w:line="288" w:before="0" w:after="600"/>
        <w:jc w:val="center"/>
        <w:rPr>
          <w:rFonts w:ascii="Times New Roman;serif" w:hAnsi="Times New Roman;serif"/>
          <w:b/>
          <w:color w:val="000000"/>
          <w:sz w:val="36"/>
        </w:rPr>
      </w:pPr>
      <w:r>
        <w:rPr>
          <w:rFonts w:ascii="Times New Roman;serif" w:hAnsi="Times New Roman;serif"/>
          <w:b/>
          <w:color w:val="000000"/>
          <w:sz w:val="36"/>
        </w:rPr>
        <w:t xml:space="preserve">CapsoVision, Inc.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3,163,444 Shares of Common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0"/>
        <w:jc w:val="center"/>
        <w:rPr>
          <w:rFonts w:ascii="Times New Roman;serif" w:hAnsi="Times New Roman;serif"/>
          <w:b/>
          <w:color w:val="000000"/>
          <w:sz w:val="20"/>
        </w:rPr>
      </w:pPr>
      <w:r>
        <w:rPr>
          <w:rFonts w:ascii="Times New Roman;serif" w:hAnsi="Times New Roman;serif"/>
          <w:b/>
          <w:color w:val="000000"/>
          <w:sz w:val="20"/>
        </w:rPr>
        <w:t>September 17,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378325/000137832526000010/cv-20251231.htm" TargetMode="External"/><Relationship Id="rId4" Type="http://schemas.openxmlformats.org/officeDocument/2006/relationships/hyperlink" Target="https://www.sec.gov/ix?doc=/Archives/edgar/data/0001378325/000137832526000013/cv-20260427.htm" TargetMode="External"/><Relationship Id="rId5" Type="http://schemas.openxmlformats.org/officeDocument/2006/relationships/hyperlink" Target="https://www.sec.gov/ix?doc=/Archives/edgar/data/0001378325/000137832526000021/cv-20260331.htm" TargetMode="External"/><Relationship Id="rId6" Type="http://schemas.openxmlformats.org/officeDocument/2006/relationships/hyperlink" Target="https://www.sec.gov/ix?doc=/Archives/edgar/data/0001378325/000137832526000036/cv-20260630.htm" TargetMode="External"/><Relationship Id="rId7" Type="http://schemas.openxmlformats.org/officeDocument/2006/relationships/hyperlink" Target="https://www.sec.gov/ix?doc=/Archives/edgar/data/1378325/000137832526000002/cv-20260313.htm" TargetMode="External"/><Relationship Id="rId8" Type="http://schemas.openxmlformats.org/officeDocument/2006/relationships/hyperlink" Target="https://www.sec.gov/ix?doc=/Archives/edgar/data/1378325/000137832526000002/cv-20260313.htm" TargetMode="External"/><Relationship Id="rId9" Type="http://schemas.openxmlformats.org/officeDocument/2006/relationships/hyperlink" Target="https://www.sec.gov/ix?doc=/Archives/edgar/data/1378325/000137832526000004/cv-20260320.htm" TargetMode="External"/><Relationship Id="rId10" Type="http://schemas.openxmlformats.org/officeDocument/2006/relationships/hyperlink" Target="https://www.sec.gov/ix?doc=/Archives/edgar/data/1378325/000137832526000023/cv-20260611.htm" TargetMode="External"/><Relationship Id="rId11" Type="http://schemas.openxmlformats.org/officeDocument/2006/relationships/hyperlink" Target="https://www.sec.gov/ix?doc=/Archives/edgar/data/1378325/000137832526000026/cv-20260701.htm" TargetMode="External"/><Relationship Id="rId12" Type="http://schemas.openxmlformats.org/officeDocument/2006/relationships/hyperlink" Target="https://www.sec.gov/ix?doc=/Archives/edgar/data/1378325/000137832526000035/cv-20260813.htm" TargetMode="External"/><Relationship Id="rId13" Type="http://schemas.openxmlformats.org/officeDocument/2006/relationships/hyperlink" Target="https://www.sec.gov/ix?doc=/Archives/edgar/data/1378325/000137832526000039/cv-20260813.htm" TargetMode="External"/><Relationship Id="rId14" Type="http://schemas.openxmlformats.org/officeDocument/2006/relationships/hyperlink" Target="https://www.sec.gov/Archives/edgar/data/1378325/000119312525140839/d67263d8a12b.htm" TargetMode="External"/><Relationship Id="rId15" Type="http://schemas.openxmlformats.org/officeDocument/2006/relationships/image" Target="media/image1.jpeg"/><Relationship Id="rId16" Type="http://schemas.openxmlformats.org/officeDocument/2006/relationships/hyperlink" Target="https://www.sec.gov/ix?doc=/Archives/edgar/data/0001378325/000137832526000010/cv-20251231.htm" TargetMode="External"/><Relationship Id="rId17" Type="http://schemas.openxmlformats.org/officeDocument/2006/relationships/hyperlink" Target="https://www.sec.gov/ix?doc=/Archives/edgar/data/0001378325/000137832526000013/cv-20260427.htm" TargetMode="External"/><Relationship Id="rId18" Type="http://schemas.openxmlformats.org/officeDocument/2006/relationships/hyperlink" Target="https://www.sec.gov/ix?doc=/Archives/edgar/data/0001378325/000137832526000021/cv-20260331.htm" TargetMode="External"/><Relationship Id="rId19" Type="http://schemas.openxmlformats.org/officeDocument/2006/relationships/hyperlink" Target="https://www.sec.gov/ix?doc=/Archives/edgar/data/1378325/000137832526000036/cv-20260630.htm" TargetMode="External"/><Relationship Id="rId20" Type="http://schemas.openxmlformats.org/officeDocument/2006/relationships/hyperlink" Target="https://www.sec.gov/ix?doc=/Archives/edgar/data/0001378325/000137832526000002/cv-20260313.htm" TargetMode="External"/><Relationship Id="rId21" Type="http://schemas.openxmlformats.org/officeDocument/2006/relationships/hyperlink" Target="https://www.sec.gov/ix?doc=/Archives/edgar/data/0001378325/000137832526000004/cv-20260320.htm" TargetMode="External"/><Relationship Id="rId22" Type="http://schemas.openxmlformats.org/officeDocument/2006/relationships/hyperlink" Target="https://www.sec.gov/ix?doc=/Archives/edgar/data/0001378325/000137832526000023/cv-20260611.htm" TargetMode="External"/><Relationship Id="rId23" Type="http://schemas.openxmlformats.org/officeDocument/2006/relationships/hyperlink" Target="https://www.sec.gov/ix?doc=/Archives/edgar/data/0001378325/000137832526000026/cv-20260701.htm" TargetMode="External"/><Relationship Id="rId24" Type="http://schemas.openxmlformats.org/officeDocument/2006/relationships/hyperlink" Target="https://www.sec.gov/ix?doc=/Archives/edgar/data/1378325/000137832526000035/cv-20260813.htm" TargetMode="External"/><Relationship Id="rId25" Type="http://schemas.openxmlformats.org/officeDocument/2006/relationships/hyperlink" Target="https://www.sec.gov/Archives/edgar/data/1378325/000119312525140839/d67263d8a12b.htm" TargetMode="External"/><Relationship Id="rId26" Type="http://schemas.openxmlformats.org/officeDocument/2006/relationships/image" Target="media/image1.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17207</Words>
  <Characters>92791</Characters>
  <CharactersWithSpaces>109547</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