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Shen Ching Hang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2F NO.112, LN 189, ZHONGSHAN N RD SEC 2</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TAMSUI DIST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TAIPEI CITY</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TAIWAN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CapsoVision, Inc</w:t>
              </w:r>
            </w:hyperlink>
            <w:r>
              <w:rPr/>
              <w:t xml:space="preserve"> [ </w:t>
            </w:r>
            <w:r>
              <w:rPr>
                <w:rFonts w:ascii="Times;serif" w:hAnsi="Times;serif"/>
                <w:color w:val="0000FF"/>
                <w:sz w:val="24"/>
                <w:shd w:fill="FFFFFF" w:val="clear"/>
              </w:rPr>
              <w:t>cv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04/17/2026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181"/>
        <w:gridCol w:w="437"/>
        <w:gridCol w:w="599"/>
        <w:gridCol w:w="1255"/>
        <w:gridCol w:w="975"/>
        <w:gridCol w:w="94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3,991,606</w:t>
            </w:r>
            <w:r>
              <w:rPr>
                <w:rFonts w:ascii="Times;serif" w:hAnsi="Times;serif"/>
                <w:color w:val="008000"/>
                <w:position w:val="7"/>
                <w:sz w:val="16"/>
                <w:sz w:val="20"/>
                <w:shd w:fill="FFFFFF" w:val="clear"/>
              </w:rPr>
              <w:t>(3)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3,991,606</w:t>
            </w:r>
            <w:r>
              <w:rPr>
                <w:rFonts w:ascii="Times;serif" w:hAnsi="Times;serif"/>
                <w:color w:val="008000"/>
                <w:position w:val="7"/>
                <w:sz w:val="16"/>
                <w:sz w:val="20"/>
                <w:shd w:fill="FFFFFF" w:val="clear"/>
              </w:rPr>
              <w:t>(3)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6,400,527</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Star One Global Capital Limited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Due to an administrative oversight, this Form 4 is being filed late to report the transfer of shares on April 17, 2026, from direct ownership to indirect ownership held through Star One, an entity 100% owned and controlled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0 share - directly owned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April 17, 2026, the Reporting Person transferred 3,991,606 shares of Common Stock from direct ownership to Star One Global Capital Limited, an entity wholly owned and controlled by the Reporting Person. No cash or other consideration was paid in connection with the transfer. This transaction resulted only in a change in the form of beneficial ownership exempt under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$0.00. No cash or other consideration was paid in connection with the transfer.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Represents a transfer of shares from direct ownership to indirect ownership held through Star One Global Capital Limited, an entity 100% owned and controlled by the Reporting Person. The Reporting Person retains sole voting and investment power over the securities held by Star One. This transfer constitutes a change in the form of beneficial ownership exempt under Rule 16a-13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Ching-Hang Shen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304" TargetMode="External"/><Relationship Id="rId5" Type="http://schemas.openxmlformats.org/officeDocument/2006/relationships/hyperlink" Target="http://www.sec.gov/cgi-bin/browse-edgar?action=getcompany&amp;CIK=00013783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4117</Characters>
  <CharactersWithSpaces>4804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